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E0B65" w14:textId="629E004D" w:rsidR="007B30F8" w:rsidRPr="008C35A8" w:rsidRDefault="005C3EAE" w:rsidP="00CE7397">
      <w:pPr>
        <w:pStyle w:val="Title"/>
        <w:jc w:val="both"/>
      </w:pPr>
      <w:r w:rsidRPr="008C35A8">
        <w:t>2</w:t>
      </w:r>
      <w:commentRangeStart w:id="0"/>
      <w:r w:rsidRPr="008C35A8">
        <w:t xml:space="preserve">+2 </w:t>
      </w:r>
      <w:r w:rsidR="005650D8">
        <w:t xml:space="preserve">teed </w:t>
      </w:r>
      <w:r w:rsidRPr="008C35A8">
        <w:t>ja liiklusohutus</w:t>
      </w:r>
      <w:commentRangeEnd w:id="0"/>
      <w:r w:rsidR="00830347">
        <w:rPr>
          <w:rStyle w:val="CommentReference"/>
          <w:rFonts w:asciiTheme="minorHAnsi" w:eastAsiaTheme="minorHAnsi" w:hAnsiTheme="minorHAnsi" w:cstheme="minorBidi"/>
          <w:spacing w:val="0"/>
          <w:kern w:val="2"/>
        </w:rPr>
        <w:commentReference w:id="0"/>
      </w:r>
    </w:p>
    <w:p w14:paraId="43794376" w14:textId="14617E0C" w:rsidR="005C3EAE" w:rsidRDefault="005C3EAE" w:rsidP="00CE7397">
      <w:pPr>
        <w:jc w:val="both"/>
      </w:pPr>
      <w:r w:rsidRPr="008C35A8">
        <w:t xml:space="preserve">Viimasel ajal on </w:t>
      </w:r>
      <w:r w:rsidR="00A83BEB">
        <w:t xml:space="preserve">suurt </w:t>
      </w:r>
      <w:r w:rsidRPr="008C35A8">
        <w:t xml:space="preserve">tähelepanu </w:t>
      </w:r>
      <w:r w:rsidR="00335290">
        <w:t xml:space="preserve">saanud </w:t>
      </w:r>
      <w:r w:rsidRPr="008C35A8">
        <w:t xml:space="preserve">mitu </w:t>
      </w:r>
      <w:r w:rsidR="00335290">
        <w:t xml:space="preserve">väga </w:t>
      </w:r>
      <w:r w:rsidRPr="008C35A8">
        <w:t>raske</w:t>
      </w:r>
      <w:r w:rsidR="00A83BEB">
        <w:t>t</w:t>
      </w:r>
      <w:r w:rsidR="005650D8">
        <w:t xml:space="preserve"> ja hukkunutega </w:t>
      </w:r>
      <w:r w:rsidRPr="008C35A8">
        <w:t xml:space="preserve">avariid eraldatud sõidusuundadega </w:t>
      </w:r>
      <w:r w:rsidR="005650D8">
        <w:t>maan</w:t>
      </w:r>
      <w:r w:rsidRPr="008C35A8">
        <w:t xml:space="preserve">teedel. Liiklusseadus (LS) on kirjutatud nii, et </w:t>
      </w:r>
      <w:r w:rsidR="005650D8">
        <w:t>sõiduki</w:t>
      </w:r>
      <w:r w:rsidRPr="008C35A8">
        <w:t xml:space="preserve">juht kui suurema ohu valdaja, on ALATI süüdi. Kuid </w:t>
      </w:r>
      <w:r w:rsidR="00335290">
        <w:t>tegelikkuses</w:t>
      </w:r>
      <w:r w:rsidR="00335290" w:rsidRPr="008C35A8">
        <w:t xml:space="preserve"> </w:t>
      </w:r>
      <w:r w:rsidRPr="008C35A8">
        <w:t xml:space="preserve">juhtuvad </w:t>
      </w:r>
      <w:r w:rsidR="00335290">
        <w:t xml:space="preserve">suured ja ebameeldiva lõpptulemusega sündmused </w:t>
      </w:r>
      <w:r w:rsidRPr="008C35A8">
        <w:t xml:space="preserve">reeglina </w:t>
      </w:r>
      <w:r w:rsidR="00335290">
        <w:t xml:space="preserve">mitmete varasemate </w:t>
      </w:r>
      <w:r w:rsidRPr="008C35A8">
        <w:t>kokkulangevuste tulemusena. Vahel saame kasutada üldnimetust “kobarkäkk”,</w:t>
      </w:r>
      <w:r w:rsidR="00D077C3">
        <w:t xml:space="preserve"> </w:t>
      </w:r>
      <w:r w:rsidRPr="008C35A8">
        <w:t xml:space="preserve">kuid </w:t>
      </w:r>
      <w:r w:rsidR="00F365AD">
        <w:t xml:space="preserve">proovime </w:t>
      </w:r>
      <w:r w:rsidRPr="008C35A8">
        <w:t>mõne</w:t>
      </w:r>
      <w:r w:rsidR="002D346E">
        <w:t xml:space="preserve"> </w:t>
      </w:r>
      <w:r w:rsidR="00F365AD">
        <w:t xml:space="preserve">näite varal minna </w:t>
      </w:r>
      <w:r w:rsidRPr="008C35A8">
        <w:t>veidi rohkem detailidesse</w:t>
      </w:r>
      <w:r w:rsidR="002D346E">
        <w:t>,</w:t>
      </w:r>
      <w:r w:rsidRPr="008C35A8">
        <w:t xml:space="preserve"> tuginedes avalikus ruumis esitatud faktidele </w:t>
      </w:r>
      <w:r w:rsidR="002D346E">
        <w:t xml:space="preserve">- </w:t>
      </w:r>
      <w:r w:rsidRPr="008C35A8">
        <w:t>ja ka oletustele</w:t>
      </w:r>
      <w:r w:rsidR="002D346E">
        <w:t>.</w:t>
      </w:r>
      <w:r w:rsidR="00F365AD">
        <w:t xml:space="preserve"> </w:t>
      </w:r>
      <w:r w:rsidR="002D346E">
        <w:t xml:space="preserve">Oletustele </w:t>
      </w:r>
      <w:r w:rsidR="00D077C3">
        <w:t xml:space="preserve">just </w:t>
      </w:r>
      <w:r w:rsidR="002D346E">
        <w:t xml:space="preserve">seetõttu, et õnnetustele järgnenud </w:t>
      </w:r>
      <w:r w:rsidRPr="008C35A8">
        <w:t xml:space="preserve">kommentaariumis esitatakse </w:t>
      </w:r>
      <w:r w:rsidR="002D346E">
        <w:t xml:space="preserve">palju </w:t>
      </w:r>
      <w:r w:rsidRPr="008C35A8">
        <w:t xml:space="preserve">erinevad </w:t>
      </w:r>
      <w:r w:rsidR="002D346E">
        <w:t xml:space="preserve">tahke ja </w:t>
      </w:r>
      <w:r w:rsidRPr="008C35A8">
        <w:t>detaile, mille tõeväärtust kirjutajal pole võimalik kontrollida</w:t>
      </w:r>
      <w:r w:rsidR="002D346E">
        <w:t xml:space="preserve">, </w:t>
      </w:r>
      <w:r w:rsidR="00D077C3">
        <w:t xml:space="preserve">küll </w:t>
      </w:r>
      <w:r w:rsidR="002D346E">
        <w:t xml:space="preserve">aga </w:t>
      </w:r>
      <w:r w:rsidR="00D077C3">
        <w:t>võivad mõned neist osutuda hiljem väga oluliseks teguriks</w:t>
      </w:r>
      <w:r w:rsidRPr="008C35A8">
        <w:t xml:space="preserve">. Ehk annab </w:t>
      </w:r>
      <w:r w:rsidR="00D077C3">
        <w:t xml:space="preserve">lõpliku </w:t>
      </w:r>
      <w:r w:rsidRPr="008C35A8">
        <w:t xml:space="preserve">vastuse </w:t>
      </w:r>
      <w:r w:rsidR="00D077C3">
        <w:t xml:space="preserve">kunagi </w:t>
      </w:r>
      <w:r w:rsidRPr="008C35A8">
        <w:t xml:space="preserve">PPA kui uurimised </w:t>
      </w:r>
      <w:r w:rsidR="00D077C3">
        <w:t xml:space="preserve">on </w:t>
      </w:r>
      <w:r w:rsidRPr="008C35A8">
        <w:t xml:space="preserve">lõpule </w:t>
      </w:r>
      <w:r w:rsidR="00D077C3">
        <w:t xml:space="preserve">jõudnud </w:t>
      </w:r>
      <w:r w:rsidR="008C35A8" w:rsidRPr="008C35A8">
        <w:t>ning teeäärsete kaamerate salvestusi pole veel kustutatud.</w:t>
      </w:r>
    </w:p>
    <w:p w14:paraId="410F89AD" w14:textId="35E0A778" w:rsidR="00E903A1" w:rsidRDefault="00E903A1" w:rsidP="00E903A1">
      <w:pPr>
        <w:pStyle w:val="Heading2"/>
      </w:pPr>
      <w:r>
        <w:t>Mis on kiirtee ja miks 2+2</w:t>
      </w:r>
    </w:p>
    <w:p w14:paraId="4FC17459" w14:textId="3A956BFF" w:rsidR="00E903A1" w:rsidRDefault="00E903A1" w:rsidP="00E903A1">
      <w:r>
        <w:t>Kiirtee mõiste on üsna täpselt defineeritud, sõidusuunad on füüsiliselt lahutatud, tee peab olema tarastatud et loomad teele ei pääseks, kõik ristumised teiste teedega eritasandilised ning aeglased sõidukid ei tohiks kiirteele pääseda</w:t>
      </w:r>
      <w:r w:rsidR="003241AD">
        <w:t xml:space="preserve"> (seega, aeglasemaid teenindaks paralleelne madalama taseme teedevõrk)</w:t>
      </w:r>
      <w:r>
        <w:t>. Kõik muu aga on enamvähem sarnane tavaliste 2+2 teedega. Lisaks Eesti reeglitele on rahvusvahelise liikluse suhtes kaks olulist – E-teede võrk ja TEN-T teede võrk. Kui E-teed märgistatakse vastavate teenumbri viitadega, siis TEN-T võrgustik ühendab riigipiire sadamatega ja sellele võrgustikule tohib kasutada Euroopa abiraha. Tehnilistest nõuetest on olulisem füüsiline lahutatus ja eritasandisõlmed, kui liiklussagedus on vähemalt 10,000 autot ööpäevas (aastakeskmisena) – kui see on väiksem, on nõuete täitmiseks võimalik küsida ajapikendust.</w:t>
      </w:r>
    </w:p>
    <w:p w14:paraId="68795455" w14:textId="652885FF" w:rsidR="00E903A1" w:rsidRDefault="00E903A1" w:rsidP="00E903A1">
      <w:r>
        <w:t xml:space="preserve">2+2 ristlõige on vajalik selleks, et tagada nii liiklusohutus (eraldatud sõidusuunad) kui piisav läbilaskevõime. Teid projekteeritakse reeglina arvestades eeldatavat liiklust 20 aasta jooksul tee valmimisest. Kuni 2015 kehtinud projekteerimisnormide järgi tohtis 2+2 ristlõiget kavandada kui perspektiivne liiklussagedus ületab 6000 a/ööp (AKÖL) ning kohustuslik kui liiklus ületab 8000 AKÖL. Alates 2015 kehtestatud normis on see piirväärtus toodud 14500 AKÖL tasemele </w:t>
      </w:r>
      <w:r w:rsidR="003241AD">
        <w:t>–</w:t>
      </w:r>
      <w:r>
        <w:t xml:space="preserve"> </w:t>
      </w:r>
      <w:r w:rsidR="003241AD">
        <w:t>ilmselt finantsilistel kaalutlustel. Nii on meil täna teid, kus 2+2 on välja ehitatud kuid lähiaastatel seda maagilist piiri 14500 ei ületata ja samas ka teid, kus liiklussagedus on suurem kuid veel ehitust ei plaanita.</w:t>
      </w:r>
    </w:p>
    <w:p w14:paraId="25187F75" w14:textId="115CE510" w:rsidR="003241AD" w:rsidRPr="00E903A1" w:rsidRDefault="003241AD" w:rsidP="00E903A1">
      <w:r>
        <w:t>Euroopa nõuete täitmiseks pole tingimata 2+2 ristlõiget vaja, teinekord piisaks ka 2+1 või isegi lahutatud suundadega 1+1 ristlõikest. Reaalselt aga eeldaks 2+1 toimivus liikluse sümmeetriat ka tipptundidel. Suuremate linnade lähialas aga on liiklus tugevalt asümmeetriline – hommikul linna tööle, õhtul tagasi maale (isegi 85/15). Seda valdavalt tänu valglinnastumise protsessile. Mida kaugemal linnadest, seda ühtlasemalt jaguneb koormus suundade vahel. 2+1 võib toimida siis, kui võimalikult suur osa teest on sellise ristlõikega ning liiklejaid on teavitatud järgmisest möödasõiduvõimalusega teelõigust. Seejuures on oluline ka möödasõiduala pikkus, et moodustuvad kolonnid ära lahustada. Täna praktiliselt kasutamata võimalus on 1+1 ja 2+2 keskpiirdega alade vaheldumine, mis annaks rekonstrueerimise mõttes parema lahendi kui 2+1.</w:t>
      </w:r>
    </w:p>
    <w:p w14:paraId="1C7624BE" w14:textId="03693DA9" w:rsidR="008B0681" w:rsidRPr="008C35A8" w:rsidRDefault="00DE67D1" w:rsidP="00CE7397">
      <w:pPr>
        <w:pStyle w:val="Heading2"/>
        <w:jc w:val="both"/>
      </w:pPr>
      <w:r>
        <w:lastRenderedPageBreak/>
        <w:t>Liiklusõnn algab insenerist</w:t>
      </w:r>
      <w:r w:rsidR="006D334C">
        <w:t xml:space="preserve"> ja Šveitsi juustust</w:t>
      </w:r>
    </w:p>
    <w:p w14:paraId="2BB6250D" w14:textId="7D86DF85" w:rsidR="008C35A8" w:rsidRPr="008C35A8" w:rsidRDefault="00C553DF" w:rsidP="00CE7397">
      <w:pPr>
        <w:jc w:val="both"/>
      </w:pPr>
      <w:r>
        <w:t>Termin „l</w:t>
      </w:r>
      <w:r w:rsidR="008C35A8" w:rsidRPr="008C35A8">
        <w:t>iiklusõnnetus</w:t>
      </w:r>
      <w:r>
        <w:t>“</w:t>
      </w:r>
      <w:r w:rsidR="008C35A8" w:rsidRPr="008C35A8">
        <w:t xml:space="preserve"> viita</w:t>
      </w:r>
      <w:r w:rsidR="00BD68A0">
        <w:t xml:space="preserve">ks justkui </w:t>
      </w:r>
      <w:r w:rsidR="008C35A8" w:rsidRPr="008C35A8">
        <w:t>õnne puudumisele</w:t>
      </w:r>
      <w:r>
        <w:t xml:space="preserve"> liikluses, </w:t>
      </w:r>
      <w:commentRangeStart w:id="1"/>
      <w:r w:rsidR="00473FE5">
        <w:t xml:space="preserve">aga </w:t>
      </w:r>
      <w:r>
        <w:t xml:space="preserve">samas kui </w:t>
      </w:r>
      <w:r w:rsidR="008C35A8" w:rsidRPr="008C35A8">
        <w:t xml:space="preserve">kogu liiklusohutus tugineks ainult õnnele, poleks </w:t>
      </w:r>
      <w:r w:rsidR="00BD68A0">
        <w:t xml:space="preserve">ju </w:t>
      </w:r>
      <w:r w:rsidR="00127E67">
        <w:t xml:space="preserve">üldse </w:t>
      </w:r>
      <w:r w:rsidR="00BD68A0">
        <w:t xml:space="preserve">mõtet </w:t>
      </w:r>
      <w:r w:rsidR="008C35A8" w:rsidRPr="008C35A8">
        <w:t xml:space="preserve">edasi </w:t>
      </w:r>
      <w:r w:rsidR="004A0A0A">
        <w:t xml:space="preserve">lugeda </w:t>
      </w:r>
      <w:r w:rsidR="00BE55F1">
        <w:t>ega inseneriks õppida</w:t>
      </w:r>
      <w:commentRangeEnd w:id="1"/>
      <w:r w:rsidR="007F5350">
        <w:rPr>
          <w:rStyle w:val="CommentReference"/>
        </w:rPr>
        <w:commentReference w:id="1"/>
      </w:r>
      <w:r w:rsidR="00BD68A0">
        <w:t>?</w:t>
      </w:r>
      <w:r w:rsidR="008C35A8" w:rsidRPr="008C35A8">
        <w:t xml:space="preserve"> Sest insener ei peaks projekteerima </w:t>
      </w:r>
      <w:r>
        <w:t xml:space="preserve">keerukaid </w:t>
      </w:r>
      <w:r w:rsidR="008C35A8" w:rsidRPr="008C35A8">
        <w:t xml:space="preserve">lahendusi, mille toimivus on </w:t>
      </w:r>
      <w:r>
        <w:t xml:space="preserve">lõppude-lõpuks ainult </w:t>
      </w:r>
      <w:r w:rsidR="008C35A8" w:rsidRPr="008C35A8">
        <w:t xml:space="preserve">õnneasi. Seetõttu tuleks </w:t>
      </w:r>
      <w:r>
        <w:t xml:space="preserve">liiklusõnnetusi </w:t>
      </w:r>
      <w:r w:rsidR="008C35A8" w:rsidRPr="008C35A8">
        <w:t xml:space="preserve">käsitleda siiski avariidena. Ja </w:t>
      </w:r>
      <w:r w:rsidR="002523AE">
        <w:t xml:space="preserve">avariid </w:t>
      </w:r>
      <w:r w:rsidR="008C35A8" w:rsidRPr="008C35A8">
        <w:t>juhtu</w:t>
      </w:r>
      <w:r w:rsidR="002523AE">
        <w:t>vad</w:t>
      </w:r>
      <w:r w:rsidR="008C35A8" w:rsidRPr="008C35A8">
        <w:t xml:space="preserve"> seepärast, et </w:t>
      </w:r>
      <w:r w:rsidR="00A92856">
        <w:t xml:space="preserve">paljud </w:t>
      </w:r>
      <w:r w:rsidR="002523AE">
        <w:t>ebasoodsa</w:t>
      </w:r>
      <w:r w:rsidR="00687624">
        <w:t>d</w:t>
      </w:r>
      <w:r w:rsidR="002523AE">
        <w:t xml:space="preserve"> </w:t>
      </w:r>
      <w:r w:rsidR="008C35A8" w:rsidRPr="008C35A8">
        <w:t xml:space="preserve">tegurid </w:t>
      </w:r>
      <w:r>
        <w:t xml:space="preserve">joondavad end ajas ja ruumis </w:t>
      </w:r>
      <w:r w:rsidR="0084646A">
        <w:t xml:space="preserve">pahaendelisse </w:t>
      </w:r>
      <w:r>
        <w:t xml:space="preserve">järjekorda, mille tulemuseks on heal juhul marraskil põlv, aga halvemal juhul hukkunud inimesed. </w:t>
      </w:r>
      <w:r w:rsidR="008C35A8" w:rsidRPr="008C35A8">
        <w:t xml:space="preserve">Mõned tegurid </w:t>
      </w:r>
      <w:commentRangeStart w:id="2"/>
      <w:r w:rsidR="008C35A8" w:rsidRPr="008C35A8">
        <w:t xml:space="preserve">on </w:t>
      </w:r>
      <w:r w:rsidR="00127E67">
        <w:t xml:space="preserve">kergemini </w:t>
      </w:r>
      <w:r w:rsidR="008C35A8" w:rsidRPr="008C35A8">
        <w:t xml:space="preserve">juhitavad </w:t>
      </w:r>
      <w:r w:rsidR="0084646A">
        <w:t>või kontrollitavad</w:t>
      </w:r>
      <w:commentRangeEnd w:id="2"/>
      <w:r w:rsidR="007F5350">
        <w:rPr>
          <w:rStyle w:val="CommentReference"/>
        </w:rPr>
        <w:commentReference w:id="2"/>
      </w:r>
      <w:r w:rsidR="008C35A8" w:rsidRPr="008C35A8">
        <w:t xml:space="preserve">, </w:t>
      </w:r>
      <w:r>
        <w:t xml:space="preserve">samas teised enam </w:t>
      </w:r>
      <w:r w:rsidR="008C35A8" w:rsidRPr="008C35A8">
        <w:t>mitte nii lihtsalt</w:t>
      </w:r>
      <w:r w:rsidR="00B572F8">
        <w:t>. Siin tulevad</w:t>
      </w:r>
      <w:r w:rsidR="0084646A">
        <w:t>ki</w:t>
      </w:r>
      <w:r w:rsidR="00B572F8">
        <w:t xml:space="preserve"> mängu teedevõrgu projekteerijad</w:t>
      </w:r>
      <w:r w:rsidR="0084646A">
        <w:t>-</w:t>
      </w:r>
      <w:r w:rsidR="00B572F8">
        <w:t xml:space="preserve">insenerid, kelle </w:t>
      </w:r>
      <w:r w:rsidR="0084646A">
        <w:t xml:space="preserve">töö </w:t>
      </w:r>
      <w:r w:rsidR="00B572F8">
        <w:t xml:space="preserve">on </w:t>
      </w:r>
      <w:r w:rsidR="0084646A">
        <w:t xml:space="preserve">ehitada </w:t>
      </w:r>
      <w:r w:rsidR="00127E67">
        <w:t xml:space="preserve">turvaline </w:t>
      </w:r>
      <w:r w:rsidR="00B572F8">
        <w:t>süsteem, mis võimalikult hästi takistaks erinevate halbade asjaolude kokkusattumist</w:t>
      </w:r>
      <w:r w:rsidR="0084646A">
        <w:t>, et vältida katastroofilisi lõpptulemusi. Tuntakse rahvakeeli ka Šveitsi juustu mudelina (The Swiss cheese model)</w:t>
      </w:r>
      <w:r w:rsidR="0000314C">
        <w:t xml:space="preserve"> – auklik, kuid augud pole kohakuti</w:t>
      </w:r>
      <w:r w:rsidR="0084646A">
        <w:t>.</w:t>
      </w:r>
    </w:p>
    <w:p w14:paraId="0795B562" w14:textId="5C2490AC" w:rsidR="008C35A8" w:rsidRDefault="008C35A8" w:rsidP="00CE7397">
      <w:pPr>
        <w:jc w:val="both"/>
      </w:pPr>
      <w:r>
        <w:t xml:space="preserve">Avariidel on tagajärjed. Mõnikord kergemad, vahel ka mitte. Teede ohtlikkust hindame tagajärgede järgi sest praktika on tõe kriteerium. Statistika opereerib </w:t>
      </w:r>
      <w:r w:rsidR="0009520E">
        <w:t xml:space="preserve">kuivalt </w:t>
      </w:r>
      <w:r>
        <w:t xml:space="preserve">hukkunute ja vigastatute arvudega. Keda loetakse hukkunuks ja vigastatuks – ja kas kõik „vigastatud“ on võrdsed? Statistikas on kokku lepitud, et kui ohver läks teise ilma 30 päeva jooksul </w:t>
      </w:r>
      <w:r w:rsidR="0009520E">
        <w:t>peale avariid</w:t>
      </w:r>
      <w:r>
        <w:t xml:space="preserve">, loetakse see liiklussurmaks, kui venitab ühe päeva </w:t>
      </w:r>
      <w:r w:rsidR="0009520E">
        <w:t xml:space="preserve">veel </w:t>
      </w:r>
      <w:r>
        <w:t>siinilmas, siis vigastatuks. Keerulisem on vigastustega, sest meie statistikas ei tehta vahet kergel ja raskel vigastusel</w:t>
      </w:r>
      <w:r w:rsidR="0009520E">
        <w:t>.</w:t>
      </w:r>
      <w:r>
        <w:t xml:space="preserve"> </w:t>
      </w:r>
      <w:r w:rsidR="00BF0852">
        <w:t>Euroopas</w:t>
      </w:r>
      <w:r>
        <w:t xml:space="preserve"> on </w:t>
      </w:r>
      <w:r w:rsidR="0009520E">
        <w:t xml:space="preserve">samas </w:t>
      </w:r>
      <w:r>
        <w:t>laiemalt levinud MAIS3</w:t>
      </w:r>
      <w:r w:rsidR="00BF0852">
        <w:t>+</w:t>
      </w:r>
      <w:r>
        <w:t xml:space="preserve"> reeglistik</w:t>
      </w:r>
      <w:r w:rsidR="00BF0852">
        <w:rPr>
          <w:rStyle w:val="FootnoteReference"/>
        </w:rPr>
        <w:footnoteReference w:id="1"/>
      </w:r>
      <w:r w:rsidR="0009520E">
        <w:t>,</w:t>
      </w:r>
      <w:r w:rsidR="00BF0852">
        <w:t xml:space="preserve"> mis võimaldab selgelt eristada vigastuste raskusastmed</w:t>
      </w:r>
      <w:r>
        <w:t>.</w:t>
      </w:r>
      <w:r w:rsidR="00BF0852">
        <w:t xml:space="preserve"> Paraku ei ole Eestis seda veel rakendatud, mistõttu loetakse raskelt vigastatuks isik, keda hoiti haiglas vähemalt 24 tundi. Ka juhul, kui eesmärgiks </w:t>
      </w:r>
      <w:r w:rsidR="004A0A0A">
        <w:t>pole ravi vaid ainult</w:t>
      </w:r>
      <w:r w:rsidR="00BF0852">
        <w:t xml:space="preserve"> põrutuse järgne jälgimine.</w:t>
      </w:r>
      <w:r w:rsidR="00BC5C0C">
        <w:t xml:space="preserve"> Ava-andmetest võib leida avariide info, millega kaasnes surm või raske vigastus. LKF peab arvestust ka kahjujuhtumite järgi ning nende </w:t>
      </w:r>
      <w:r w:rsidR="0009520E">
        <w:t xml:space="preserve">andmestik </w:t>
      </w:r>
      <w:r w:rsidR="00BC5C0C">
        <w:t>sisaldab ka juhtum</w:t>
      </w:r>
      <w:r w:rsidR="0009520E">
        <w:t>e</w:t>
      </w:r>
      <w:r w:rsidR="00BC5C0C">
        <w:t xml:space="preserve">id, millega kaasnes vaid </w:t>
      </w:r>
      <w:r w:rsidR="0009520E">
        <w:t xml:space="preserve">varaline </w:t>
      </w:r>
      <w:r w:rsidR="00BC5C0C">
        <w:t>kahju.</w:t>
      </w:r>
      <w:r w:rsidR="002B1E3C">
        <w:t xml:space="preserve"> Siit tulenevalt võib kahelda, kas meie statistiline vigastatute hulk liikluses on põhimõtteliselt võrreldav teiste riikidega.</w:t>
      </w:r>
    </w:p>
    <w:p w14:paraId="6E050B5A" w14:textId="6071DD60" w:rsidR="008725CF" w:rsidRPr="008C35A8" w:rsidRDefault="00247CD6" w:rsidP="008725CF">
      <w:pPr>
        <w:pStyle w:val="Heading2"/>
        <w:jc w:val="both"/>
      </w:pPr>
      <w:r>
        <w:t xml:space="preserve">Kas me mõõdame </w:t>
      </w:r>
      <w:r w:rsidR="002523AE">
        <w:t>liiklus</w:t>
      </w:r>
      <w:r>
        <w:t>ohutust õigesti?</w:t>
      </w:r>
    </w:p>
    <w:p w14:paraId="300C48C9" w14:textId="721E6783" w:rsidR="00BF0852" w:rsidRDefault="00247CD6" w:rsidP="00CE7397">
      <w:pPr>
        <w:jc w:val="both"/>
      </w:pPr>
      <w:r>
        <w:t>M</w:t>
      </w:r>
      <w:r w:rsidR="00BF0852">
        <w:t xml:space="preserve">eil </w:t>
      </w:r>
      <w:r w:rsidR="004A0A0A">
        <w:t xml:space="preserve">on </w:t>
      </w:r>
      <w:r w:rsidR="00BF0852">
        <w:t xml:space="preserve">kena </w:t>
      </w:r>
      <w:r>
        <w:t xml:space="preserve">ja ühiskondlikult kokku lepitud </w:t>
      </w:r>
      <w:r w:rsidR="00BF0852">
        <w:t xml:space="preserve">näitaja – hukkunute ja vigastatute arv. </w:t>
      </w:r>
      <w:r w:rsidR="004A0A0A">
        <w:t>Ning</w:t>
      </w:r>
      <w:r w:rsidR="00BF0852">
        <w:t xml:space="preserve"> nullvisioon</w:t>
      </w:r>
      <w:r w:rsidR="002857FB">
        <w:t xml:space="preserve"> (Vision Zero)</w:t>
      </w:r>
      <w:r w:rsidR="00BF0852">
        <w:t xml:space="preserve">, mille kohaselt peaks liikluses hukkunute arv jõudma nulli ja raskelt vigastatute arv minimaalseks. Rahvusvahelises võrdluses kasutatakse </w:t>
      </w:r>
      <w:r w:rsidR="002857FB">
        <w:t xml:space="preserve">erinevaid </w:t>
      </w:r>
      <w:r w:rsidR="00BF0852">
        <w:t xml:space="preserve">suhtarve – reeglina, miljoni (või 100,000) elaniku kohta. Selline lähenemine ei arvesta </w:t>
      </w:r>
      <w:r w:rsidR="002857FB">
        <w:t xml:space="preserve">kuidagi </w:t>
      </w:r>
      <w:r w:rsidR="00BF0852">
        <w:t xml:space="preserve">riikidevahelisi erinevusi – </w:t>
      </w:r>
      <w:r w:rsidR="002857FB">
        <w:t xml:space="preserve">ei </w:t>
      </w:r>
      <w:r w:rsidR="00BF0852">
        <w:t xml:space="preserve">rahvastikutihedust </w:t>
      </w:r>
      <w:r w:rsidR="002857FB">
        <w:t xml:space="preserve">ega </w:t>
      </w:r>
      <w:r w:rsidR="00BF0852">
        <w:t>teedevõrgu eripära. Selgub, et just see teedevõrgu eripära ongi oluline.</w:t>
      </w:r>
      <w:r w:rsidR="006759B4">
        <w:t xml:space="preserve"> Aga selle </w:t>
      </w:r>
      <w:r w:rsidR="00A90F86">
        <w:t xml:space="preserve">alusel </w:t>
      </w:r>
      <w:r w:rsidR="006759B4">
        <w:t xml:space="preserve">on </w:t>
      </w:r>
      <w:r w:rsidR="00A90F86">
        <w:t xml:space="preserve">juba </w:t>
      </w:r>
      <w:r w:rsidR="006759B4">
        <w:t xml:space="preserve">raskem omavahel võrreldavat infot leida, </w:t>
      </w:r>
      <w:r w:rsidR="00A90F86">
        <w:t xml:space="preserve">mistõttu </w:t>
      </w:r>
      <w:r w:rsidR="006759B4">
        <w:t>piirdutakse üldnäitajaga (ja soovitakse sellest näitajast teha kaugeleulatuvaid järeldusi).</w:t>
      </w:r>
      <w:r w:rsidR="00512DF0">
        <w:t xml:space="preserve"> Kui aga muud parameetrid eriti ei muutu, siis näiteks Eesti aegrea vaatlus on asjakohane.</w:t>
      </w:r>
      <w:r w:rsidR="00A90D65">
        <w:t xml:space="preserve"> Statistika on suhteliselt stabiilne, kuid nii juhtumite arv kui vigastatute arv on viimase nelja aasta jooksul olnud tõusutrendis, hukkunute arvu osas võib 2022-2024 muutus olla ka juhuslikku laadi – mida väiksem on number absoluutväärtusena, seda suurem on juhuse mõju.</w:t>
      </w:r>
    </w:p>
    <w:p w14:paraId="6B4F9A02" w14:textId="50B06A36" w:rsidR="00512DF0" w:rsidRDefault="00512DF0" w:rsidP="00CE7397">
      <w:pPr>
        <w:jc w:val="both"/>
      </w:pPr>
      <w:r>
        <w:rPr>
          <w:noProof/>
        </w:rPr>
        <w:lastRenderedPageBreak/>
        <w:drawing>
          <wp:inline distT="0" distB="0" distL="0" distR="0" wp14:anchorId="1AE76D77" wp14:editId="54495DBC">
            <wp:extent cx="5671185" cy="3004457"/>
            <wp:effectExtent l="0" t="0" r="5715" b="5715"/>
            <wp:docPr id="1988387116" name="Chart 1">
              <a:extLst xmlns:a="http://schemas.openxmlformats.org/drawingml/2006/main">
                <a:ext uri="{FF2B5EF4-FFF2-40B4-BE49-F238E27FC236}">
                  <a16:creationId xmlns:a16="http://schemas.microsoft.com/office/drawing/2014/main" id="{AC76A5D7-B5B7-FD77-183F-5D2A69E7C0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EAECDC" w14:textId="4E30E44F" w:rsidR="00F068B4" w:rsidRDefault="008E7222" w:rsidP="00CE7397">
      <w:pPr>
        <w:jc w:val="both"/>
      </w:pPr>
      <w:r>
        <w:t xml:space="preserve">Eesti </w:t>
      </w:r>
      <w:r w:rsidR="00BC5C0C">
        <w:t>teedevõrk jaguneb riigi, kohaliku omavalitsuse ja erateedeks (sh RMK metsateed). Riigimaante</w:t>
      </w:r>
      <w:r w:rsidR="004A0A0A">
        <w:t>e</w:t>
      </w:r>
      <w:r w:rsidR="00BC5C0C">
        <w:t>d liigit</w:t>
      </w:r>
      <w:r w:rsidR="004A0A0A">
        <w:t>uvad</w:t>
      </w:r>
      <w:r w:rsidR="00BC5C0C">
        <w:t xml:space="preserve"> põhi-, tugi- ja kõrvalmaanteedeks</w:t>
      </w:r>
      <w:r w:rsidR="002B1E3C">
        <w:t xml:space="preserve"> (lisandunud on ka ühendusteed)</w:t>
      </w:r>
      <w:r w:rsidR="00BC5C0C">
        <w:t xml:space="preserve">, KOV teed asulavälisteks ehk maanteedeks ja asulasisesteks ehk tänavateks. </w:t>
      </w:r>
      <w:r>
        <w:t>Liiklusohutuse a</w:t>
      </w:r>
      <w:r w:rsidR="00BC5C0C">
        <w:t>va-andme</w:t>
      </w:r>
      <w:r>
        <w:t>test</w:t>
      </w:r>
      <w:r w:rsidR="00BC5C0C">
        <w:t xml:space="preserve"> </w:t>
      </w:r>
      <w:r>
        <w:t xml:space="preserve">saame </w:t>
      </w:r>
      <w:r w:rsidR="00BC5C0C">
        <w:t xml:space="preserve">teada iga </w:t>
      </w:r>
      <w:r w:rsidR="006A521B">
        <w:t xml:space="preserve">liikluses </w:t>
      </w:r>
      <w:r w:rsidR="00BC5C0C">
        <w:t xml:space="preserve">hukkunu või </w:t>
      </w:r>
      <w:r w:rsidR="00954D31">
        <w:t>inim</w:t>
      </w:r>
      <w:r w:rsidR="00BC5C0C">
        <w:t xml:space="preserve">vigastusega juhtumi kohta ka </w:t>
      </w:r>
      <w:r w:rsidR="000002AD">
        <w:t>seda</w:t>
      </w:r>
      <w:r w:rsidR="00BC5C0C">
        <w:t xml:space="preserve">, kus ja millal </w:t>
      </w:r>
      <w:r w:rsidR="000D6C18">
        <w:t xml:space="preserve">sündmus </w:t>
      </w:r>
      <w:r w:rsidR="00BC5C0C">
        <w:t>juhtus</w:t>
      </w:r>
      <w:r>
        <w:t>, milliste liiklusvahenditega</w:t>
      </w:r>
      <w:r w:rsidR="00BC5C0C">
        <w:t xml:space="preserve"> ning </w:t>
      </w:r>
      <w:r>
        <w:t xml:space="preserve">palju </w:t>
      </w:r>
      <w:r w:rsidR="000002AD">
        <w:t xml:space="preserve">muud </w:t>
      </w:r>
      <w:r w:rsidR="00BC5C0C">
        <w:t>täiendavat</w:t>
      </w:r>
      <w:r>
        <w:t xml:space="preserve"> infot</w:t>
      </w:r>
      <w:r w:rsidR="00BC5C0C">
        <w:t>, mis võimaldab juhtumeid paremini liigitada</w:t>
      </w:r>
      <w:r w:rsidR="000D6C18">
        <w:t>-</w:t>
      </w:r>
      <w:r w:rsidR="00BC5C0C">
        <w:t>analüüsida.</w:t>
      </w:r>
      <w:r w:rsidR="002D2BDD">
        <w:t xml:space="preserve"> </w:t>
      </w:r>
      <w:commentRangeStart w:id="3"/>
      <w:r w:rsidR="002D2BDD">
        <w:t xml:space="preserve">Seega, </w:t>
      </w:r>
      <w:r w:rsidR="00394C72">
        <w:t xml:space="preserve">avariid </w:t>
      </w:r>
      <w:commentRangeEnd w:id="3"/>
      <w:r w:rsidR="007F5350">
        <w:rPr>
          <w:rStyle w:val="CommentReference"/>
        </w:rPr>
        <w:commentReference w:id="3"/>
      </w:r>
      <w:r w:rsidR="002D2BDD">
        <w:t>suudame ära jagada teedevõrgule</w:t>
      </w:r>
      <w:r w:rsidR="00394C72">
        <w:t xml:space="preserve"> ja täpsele toimumise asukohale</w:t>
      </w:r>
      <w:r w:rsidR="002D2BDD">
        <w:t xml:space="preserve">. </w:t>
      </w:r>
      <w:r w:rsidR="007F5DDC">
        <w:t>Ühtlasi on meil teadmine</w:t>
      </w:r>
      <w:r w:rsidR="002D2BDD">
        <w:t xml:space="preserve">, mitu kilomeetrit meil mingi kategooria teid on, mille järgi saame </w:t>
      </w:r>
      <w:r w:rsidR="00444918">
        <w:t xml:space="preserve">omakorda </w:t>
      </w:r>
      <w:r w:rsidR="002D2BDD">
        <w:t xml:space="preserve">hinnata </w:t>
      </w:r>
      <w:r w:rsidR="00FB131F">
        <w:t xml:space="preserve">avariide </w:t>
      </w:r>
      <w:r w:rsidR="002D2BDD">
        <w:t xml:space="preserve">sagedust teekilomeetri kohta aastas </w:t>
      </w:r>
      <w:r w:rsidR="00FB131F">
        <w:t xml:space="preserve">- </w:t>
      </w:r>
      <w:r w:rsidR="002D2BDD">
        <w:t xml:space="preserve">mis ongi </w:t>
      </w:r>
      <w:r w:rsidR="002B1E3C">
        <w:t>üheks võimalikuks</w:t>
      </w:r>
      <w:r w:rsidR="002D2BDD">
        <w:t xml:space="preserve"> </w:t>
      </w:r>
      <w:r>
        <w:t>mõõdikuks</w:t>
      </w:r>
      <w:r w:rsidR="00FB131F">
        <w:t xml:space="preserve"> teedevõrgu liiklusohutuse või ohtlikkuse kohta</w:t>
      </w:r>
      <w:r w:rsidR="008B0681">
        <w:t xml:space="preserve">. Selline vaade näitab, et kõige ohtlikumad on need teed, mida </w:t>
      </w:r>
      <w:r w:rsidR="0013443B">
        <w:t xml:space="preserve">eelkõige </w:t>
      </w:r>
      <w:r w:rsidR="00386291">
        <w:t xml:space="preserve">intensiivselt </w:t>
      </w:r>
      <w:r w:rsidR="008B0681">
        <w:t>kasutatakse (maanteedes</w:t>
      </w:r>
      <w:r w:rsidR="00386291">
        <w:t>t</w:t>
      </w:r>
      <w:r w:rsidR="008B0681">
        <w:t xml:space="preserve"> valdavalt põhimaanteed ning omakorda 2+2 </w:t>
      </w:r>
      <w:r>
        <w:t xml:space="preserve">sõiduradadega </w:t>
      </w:r>
      <w:r w:rsidR="008B0681">
        <w:t>teed</w:t>
      </w:r>
      <w:r>
        <w:t>).</w:t>
      </w:r>
      <w:r w:rsidR="008B0681">
        <w:t xml:space="preserve"> </w:t>
      </w:r>
    </w:p>
    <w:p w14:paraId="3F22E76F" w14:textId="0F1E6361" w:rsidR="00BC5C0C" w:rsidRDefault="00F068B4" w:rsidP="00CE7397">
      <w:pPr>
        <w:jc w:val="both"/>
      </w:pPr>
      <w:r>
        <w:t>V</w:t>
      </w:r>
      <w:r w:rsidR="008B0681">
        <w:t xml:space="preserve">ähem ohtlikud on </w:t>
      </w:r>
      <w:r w:rsidR="008E7222">
        <w:t xml:space="preserve">igati ootuspäraselt </w:t>
      </w:r>
      <w:r w:rsidR="008B0681">
        <w:t>teed, kus liigutakse</w:t>
      </w:r>
      <w:r w:rsidR="007F3DD1">
        <w:t xml:space="preserve"> vähe</w:t>
      </w:r>
      <w:r w:rsidR="008B0681">
        <w:t>.</w:t>
      </w:r>
      <w:r w:rsidR="00016276">
        <w:t xml:space="preserve"> </w:t>
      </w:r>
      <w:r w:rsidR="00904384">
        <w:t>Erinevate t</w:t>
      </w:r>
      <w:r w:rsidR="00016276">
        <w:t xml:space="preserve">eede </w:t>
      </w:r>
      <w:r w:rsidR="00904384">
        <w:t xml:space="preserve">liikide </w:t>
      </w:r>
      <w:r w:rsidR="00016276">
        <w:t>jaotus selgub Transpordiameti ülevaatest (koondis on ka kergliiklusteed, mida on riigil 315 ja KOV bilansis 932 km).</w:t>
      </w:r>
      <w:r w:rsidR="00B708BA">
        <w:t xml:space="preserve"> Lihtsa võrreldava indeksina liidame vigastatutele kümnekordse hukkunute arvu ning esitame tulemuse </w:t>
      </w:r>
      <w:r w:rsidR="002B1E3C">
        <w:t xml:space="preserve">indeksina, </w:t>
      </w:r>
      <w:r w:rsidR="00B708BA">
        <w:t>2024 andmetel 1000 teekilomeetri kohta.</w:t>
      </w:r>
      <w:r w:rsidR="002F7987">
        <w:t xml:space="preserve"> Detailsest jaotusest jätame välja era- ja metsateed.</w:t>
      </w:r>
    </w:p>
    <w:tbl>
      <w:tblPr>
        <w:tblStyle w:val="TableGrid"/>
        <w:tblW w:w="0" w:type="auto"/>
        <w:tblLook w:val="04A0" w:firstRow="1" w:lastRow="0" w:firstColumn="1" w:lastColumn="0" w:noHBand="0" w:noVBand="1"/>
      </w:tblPr>
      <w:tblGrid>
        <w:gridCol w:w="1354"/>
        <w:gridCol w:w="1093"/>
        <w:gridCol w:w="1070"/>
        <w:gridCol w:w="1252"/>
        <w:gridCol w:w="990"/>
        <w:gridCol w:w="1267"/>
        <w:gridCol w:w="1011"/>
      </w:tblGrid>
      <w:tr w:rsidR="00B85BFC" w14:paraId="1F2E6E01" w14:textId="77777777" w:rsidTr="00016276">
        <w:tc>
          <w:tcPr>
            <w:tcW w:w="1354" w:type="dxa"/>
          </w:tcPr>
          <w:p w14:paraId="25247BA1" w14:textId="01D723B7" w:rsidR="00B85BFC" w:rsidRPr="00963304" w:rsidRDefault="00963304" w:rsidP="00CE7397">
            <w:pPr>
              <w:jc w:val="both"/>
              <w:rPr>
                <w:b/>
                <w:bCs/>
              </w:rPr>
            </w:pPr>
            <w:r w:rsidRPr="00963304">
              <w:rPr>
                <w:b/>
                <w:bCs/>
              </w:rPr>
              <w:t>2024</w:t>
            </w:r>
          </w:p>
        </w:tc>
        <w:tc>
          <w:tcPr>
            <w:tcW w:w="3379" w:type="dxa"/>
            <w:gridSpan w:val="3"/>
          </w:tcPr>
          <w:p w14:paraId="5ED58146" w14:textId="4F8E6779" w:rsidR="00B85BFC" w:rsidRPr="00963304" w:rsidRDefault="00B85BFC" w:rsidP="00CE7397">
            <w:pPr>
              <w:jc w:val="both"/>
              <w:rPr>
                <w:b/>
                <w:bCs/>
              </w:rPr>
            </w:pPr>
            <w:r w:rsidRPr="00963304">
              <w:rPr>
                <w:b/>
                <w:bCs/>
              </w:rPr>
              <w:t>Riigiteed</w:t>
            </w:r>
          </w:p>
        </w:tc>
        <w:tc>
          <w:tcPr>
            <w:tcW w:w="2219" w:type="dxa"/>
            <w:gridSpan w:val="2"/>
          </w:tcPr>
          <w:p w14:paraId="41EA43BE" w14:textId="15F5BBAA" w:rsidR="00B85BFC" w:rsidRPr="00963304" w:rsidRDefault="00B85BFC" w:rsidP="00CE7397">
            <w:pPr>
              <w:jc w:val="both"/>
              <w:rPr>
                <w:b/>
                <w:bCs/>
              </w:rPr>
            </w:pPr>
            <w:r w:rsidRPr="00963304">
              <w:rPr>
                <w:b/>
                <w:bCs/>
              </w:rPr>
              <w:t>Vallateed</w:t>
            </w:r>
          </w:p>
        </w:tc>
        <w:tc>
          <w:tcPr>
            <w:tcW w:w="1011" w:type="dxa"/>
          </w:tcPr>
          <w:p w14:paraId="4C637939" w14:textId="3D81CC70" w:rsidR="00B85BFC" w:rsidRPr="00963304" w:rsidRDefault="00B85BFC" w:rsidP="00CE7397">
            <w:pPr>
              <w:jc w:val="both"/>
              <w:rPr>
                <w:b/>
                <w:bCs/>
              </w:rPr>
            </w:pPr>
            <w:r w:rsidRPr="00963304">
              <w:rPr>
                <w:b/>
                <w:bCs/>
              </w:rPr>
              <w:t>KOKKU</w:t>
            </w:r>
          </w:p>
        </w:tc>
      </w:tr>
      <w:tr w:rsidR="00B85BFC" w14:paraId="367C4448" w14:textId="77777777" w:rsidTr="00016276">
        <w:tc>
          <w:tcPr>
            <w:tcW w:w="1354" w:type="dxa"/>
          </w:tcPr>
          <w:p w14:paraId="2A922FD4" w14:textId="77777777" w:rsidR="00B85BFC" w:rsidRDefault="00B85BFC" w:rsidP="00CE7397">
            <w:pPr>
              <w:jc w:val="both"/>
            </w:pPr>
          </w:p>
        </w:tc>
        <w:tc>
          <w:tcPr>
            <w:tcW w:w="1093" w:type="dxa"/>
          </w:tcPr>
          <w:p w14:paraId="533EDE39" w14:textId="5F35B5F4" w:rsidR="00B85BFC" w:rsidRPr="00963304" w:rsidRDefault="00B85BFC" w:rsidP="00CE7397">
            <w:pPr>
              <w:jc w:val="both"/>
              <w:rPr>
                <w:b/>
                <w:bCs/>
              </w:rPr>
            </w:pPr>
            <w:r w:rsidRPr="00963304">
              <w:rPr>
                <w:b/>
                <w:bCs/>
              </w:rPr>
              <w:t>Põhimnt</w:t>
            </w:r>
          </w:p>
        </w:tc>
        <w:tc>
          <w:tcPr>
            <w:tcW w:w="1070" w:type="dxa"/>
          </w:tcPr>
          <w:p w14:paraId="2DE023F3" w14:textId="56164C3C" w:rsidR="00B85BFC" w:rsidRPr="00963304" w:rsidRDefault="00B85BFC" w:rsidP="00CE7397">
            <w:pPr>
              <w:jc w:val="both"/>
              <w:rPr>
                <w:b/>
                <w:bCs/>
              </w:rPr>
            </w:pPr>
            <w:r w:rsidRPr="00963304">
              <w:rPr>
                <w:b/>
                <w:bCs/>
              </w:rPr>
              <w:t>Tugimnt</w:t>
            </w:r>
          </w:p>
        </w:tc>
        <w:tc>
          <w:tcPr>
            <w:tcW w:w="1216" w:type="dxa"/>
          </w:tcPr>
          <w:p w14:paraId="0ACFE2B1" w14:textId="4C88A826" w:rsidR="00B85BFC" w:rsidRPr="00963304" w:rsidRDefault="00B85BFC" w:rsidP="00CE7397">
            <w:pPr>
              <w:jc w:val="both"/>
              <w:rPr>
                <w:b/>
                <w:bCs/>
              </w:rPr>
            </w:pPr>
            <w:r w:rsidRPr="00963304">
              <w:rPr>
                <w:b/>
                <w:bCs/>
              </w:rPr>
              <w:t>Kõrvalmnt</w:t>
            </w:r>
          </w:p>
        </w:tc>
        <w:tc>
          <w:tcPr>
            <w:tcW w:w="990" w:type="dxa"/>
          </w:tcPr>
          <w:p w14:paraId="643869BB" w14:textId="78004EE2" w:rsidR="00B85BFC" w:rsidRPr="00963304" w:rsidRDefault="00B85BFC" w:rsidP="00CE7397">
            <w:pPr>
              <w:jc w:val="both"/>
              <w:rPr>
                <w:b/>
                <w:bCs/>
              </w:rPr>
            </w:pPr>
            <w:r w:rsidRPr="00963304">
              <w:rPr>
                <w:b/>
                <w:bCs/>
              </w:rPr>
              <w:t>Asulas</w:t>
            </w:r>
          </w:p>
        </w:tc>
        <w:tc>
          <w:tcPr>
            <w:tcW w:w="1229" w:type="dxa"/>
          </w:tcPr>
          <w:p w14:paraId="633D0512" w14:textId="4CA1E31D" w:rsidR="00B85BFC" w:rsidRPr="00963304" w:rsidRDefault="00B85BFC" w:rsidP="00CE7397">
            <w:pPr>
              <w:jc w:val="both"/>
              <w:rPr>
                <w:b/>
                <w:bCs/>
              </w:rPr>
            </w:pPr>
            <w:r w:rsidRPr="00963304">
              <w:rPr>
                <w:b/>
                <w:bCs/>
              </w:rPr>
              <w:t>Väljaspool</w:t>
            </w:r>
          </w:p>
        </w:tc>
        <w:tc>
          <w:tcPr>
            <w:tcW w:w="1011" w:type="dxa"/>
          </w:tcPr>
          <w:p w14:paraId="741721E5" w14:textId="77777777" w:rsidR="00B85BFC" w:rsidRPr="00963304" w:rsidRDefault="00B85BFC" w:rsidP="00CE7397">
            <w:pPr>
              <w:jc w:val="both"/>
              <w:rPr>
                <w:b/>
                <w:bCs/>
              </w:rPr>
            </w:pPr>
          </w:p>
        </w:tc>
      </w:tr>
      <w:tr w:rsidR="00B85BFC" w14:paraId="69E373D1" w14:textId="77777777" w:rsidTr="00016276">
        <w:tc>
          <w:tcPr>
            <w:tcW w:w="1354" w:type="dxa"/>
          </w:tcPr>
          <w:p w14:paraId="66791684" w14:textId="77777777" w:rsidR="00B85BFC" w:rsidRDefault="00B85BFC" w:rsidP="00CE7397">
            <w:pPr>
              <w:jc w:val="both"/>
            </w:pPr>
          </w:p>
        </w:tc>
        <w:tc>
          <w:tcPr>
            <w:tcW w:w="1093" w:type="dxa"/>
          </w:tcPr>
          <w:p w14:paraId="3CD30235" w14:textId="0DA930E6" w:rsidR="00B85BFC" w:rsidRDefault="00B85BFC" w:rsidP="00963304">
            <w:pPr>
              <w:jc w:val="right"/>
            </w:pPr>
            <w:r>
              <w:t>1</w:t>
            </w:r>
            <w:r w:rsidR="00321D2D">
              <w:t xml:space="preserve"> </w:t>
            </w:r>
            <w:r>
              <w:t>603</w:t>
            </w:r>
          </w:p>
        </w:tc>
        <w:tc>
          <w:tcPr>
            <w:tcW w:w="1070" w:type="dxa"/>
          </w:tcPr>
          <w:p w14:paraId="06087B82" w14:textId="67F719E4" w:rsidR="00B85BFC" w:rsidRDefault="00B85BFC" w:rsidP="00963304">
            <w:pPr>
              <w:jc w:val="right"/>
            </w:pPr>
            <w:r>
              <w:t>2</w:t>
            </w:r>
            <w:r w:rsidR="00321D2D">
              <w:t xml:space="preserve"> </w:t>
            </w:r>
            <w:r>
              <w:t>407</w:t>
            </w:r>
          </w:p>
        </w:tc>
        <w:tc>
          <w:tcPr>
            <w:tcW w:w="1216" w:type="dxa"/>
          </w:tcPr>
          <w:p w14:paraId="0E76CBF3" w14:textId="658CDC94" w:rsidR="00B85BFC" w:rsidRDefault="00B85BFC" w:rsidP="00963304">
            <w:pPr>
              <w:jc w:val="right"/>
            </w:pPr>
            <w:r>
              <w:t>12</w:t>
            </w:r>
            <w:r w:rsidR="00321D2D">
              <w:t xml:space="preserve"> </w:t>
            </w:r>
            <w:r>
              <w:t>513</w:t>
            </w:r>
          </w:p>
        </w:tc>
        <w:tc>
          <w:tcPr>
            <w:tcW w:w="990" w:type="dxa"/>
          </w:tcPr>
          <w:p w14:paraId="7E7AD2B6" w14:textId="634F41BE" w:rsidR="00B85BFC" w:rsidRDefault="00B85BFC" w:rsidP="00963304">
            <w:pPr>
              <w:jc w:val="right"/>
            </w:pPr>
            <w:r>
              <w:t>5402</w:t>
            </w:r>
          </w:p>
        </w:tc>
        <w:tc>
          <w:tcPr>
            <w:tcW w:w="1229" w:type="dxa"/>
          </w:tcPr>
          <w:p w14:paraId="48F27B1D" w14:textId="2CBADB70" w:rsidR="00B85BFC" w:rsidRDefault="00B85BFC" w:rsidP="00963304">
            <w:pPr>
              <w:jc w:val="right"/>
            </w:pPr>
            <w:r>
              <w:t>17</w:t>
            </w:r>
            <w:r w:rsidR="00321D2D">
              <w:t xml:space="preserve"> </w:t>
            </w:r>
            <w:r>
              <w:t>426</w:t>
            </w:r>
          </w:p>
        </w:tc>
        <w:tc>
          <w:tcPr>
            <w:tcW w:w="1011" w:type="dxa"/>
          </w:tcPr>
          <w:p w14:paraId="102B5834" w14:textId="17811A60" w:rsidR="00B85BFC" w:rsidRDefault="00B85BFC" w:rsidP="00963304">
            <w:pPr>
              <w:jc w:val="right"/>
            </w:pPr>
            <w:r>
              <w:t>89</w:t>
            </w:r>
            <w:r w:rsidR="00321D2D">
              <w:t xml:space="preserve"> </w:t>
            </w:r>
            <w:r>
              <w:t>716</w:t>
            </w:r>
          </w:p>
        </w:tc>
      </w:tr>
      <w:tr w:rsidR="00B85BFC" w14:paraId="1D8FD099" w14:textId="77777777" w:rsidTr="00016276">
        <w:tc>
          <w:tcPr>
            <w:tcW w:w="1354" w:type="dxa"/>
          </w:tcPr>
          <w:p w14:paraId="0912E415" w14:textId="79EFE046" w:rsidR="00B85BFC" w:rsidRPr="00963304" w:rsidRDefault="00B85BFC" w:rsidP="00CE7397">
            <w:pPr>
              <w:jc w:val="both"/>
              <w:rPr>
                <w:b/>
                <w:bCs/>
              </w:rPr>
            </w:pPr>
            <w:r w:rsidRPr="00963304">
              <w:rPr>
                <w:b/>
                <w:bCs/>
              </w:rPr>
              <w:t>Avariid</w:t>
            </w:r>
          </w:p>
        </w:tc>
        <w:tc>
          <w:tcPr>
            <w:tcW w:w="1093" w:type="dxa"/>
          </w:tcPr>
          <w:p w14:paraId="1A8941F3" w14:textId="59EED872" w:rsidR="00B85BFC" w:rsidRDefault="00B85BFC" w:rsidP="00963304">
            <w:pPr>
              <w:jc w:val="right"/>
            </w:pPr>
            <w:r>
              <w:t>204</w:t>
            </w:r>
          </w:p>
        </w:tc>
        <w:tc>
          <w:tcPr>
            <w:tcW w:w="1070" w:type="dxa"/>
          </w:tcPr>
          <w:p w14:paraId="1EB3CFE3" w14:textId="3DA3719E" w:rsidR="00B85BFC" w:rsidRDefault="00B85BFC" w:rsidP="00963304">
            <w:pPr>
              <w:jc w:val="right"/>
            </w:pPr>
            <w:r>
              <w:t>130</w:t>
            </w:r>
          </w:p>
        </w:tc>
        <w:tc>
          <w:tcPr>
            <w:tcW w:w="1216" w:type="dxa"/>
          </w:tcPr>
          <w:p w14:paraId="733AEB50" w14:textId="346DD27A" w:rsidR="00B85BFC" w:rsidRDefault="00B85BFC" w:rsidP="00963304">
            <w:pPr>
              <w:jc w:val="right"/>
            </w:pPr>
            <w:r>
              <w:t>238</w:t>
            </w:r>
          </w:p>
        </w:tc>
        <w:tc>
          <w:tcPr>
            <w:tcW w:w="990" w:type="dxa"/>
          </w:tcPr>
          <w:p w14:paraId="36625094" w14:textId="2C9D61BA" w:rsidR="00B85BFC" w:rsidRDefault="00B85BFC" w:rsidP="00963304">
            <w:pPr>
              <w:jc w:val="right"/>
            </w:pPr>
            <w:r>
              <w:t>1</w:t>
            </w:r>
            <w:r w:rsidR="00321D2D">
              <w:t xml:space="preserve"> </w:t>
            </w:r>
            <w:r>
              <w:t>124</w:t>
            </w:r>
          </w:p>
        </w:tc>
        <w:tc>
          <w:tcPr>
            <w:tcW w:w="1229" w:type="dxa"/>
          </w:tcPr>
          <w:p w14:paraId="74BA029F" w14:textId="48DE4537" w:rsidR="00B85BFC" w:rsidRDefault="00B85BFC" w:rsidP="00963304">
            <w:pPr>
              <w:jc w:val="right"/>
            </w:pPr>
            <w:r>
              <w:t>220</w:t>
            </w:r>
          </w:p>
        </w:tc>
        <w:tc>
          <w:tcPr>
            <w:tcW w:w="1011" w:type="dxa"/>
          </w:tcPr>
          <w:p w14:paraId="65FFB356" w14:textId="4EDDA1AD" w:rsidR="00B85BFC" w:rsidRDefault="00B85BFC" w:rsidP="00963304">
            <w:pPr>
              <w:jc w:val="right"/>
            </w:pPr>
            <w:r>
              <w:t>1</w:t>
            </w:r>
            <w:r w:rsidR="00321D2D">
              <w:t xml:space="preserve"> </w:t>
            </w:r>
            <w:r>
              <w:t>921</w:t>
            </w:r>
          </w:p>
        </w:tc>
      </w:tr>
      <w:tr w:rsidR="00B85BFC" w14:paraId="55273CB1" w14:textId="77777777" w:rsidTr="00016276">
        <w:tc>
          <w:tcPr>
            <w:tcW w:w="1354" w:type="dxa"/>
          </w:tcPr>
          <w:p w14:paraId="37842D3D" w14:textId="3E81F191" w:rsidR="00B85BFC" w:rsidRPr="00963304" w:rsidRDefault="00B85BFC" w:rsidP="00CE7397">
            <w:pPr>
              <w:jc w:val="both"/>
              <w:rPr>
                <w:b/>
                <w:bCs/>
              </w:rPr>
            </w:pPr>
            <w:r w:rsidRPr="00963304">
              <w:rPr>
                <w:b/>
                <w:bCs/>
              </w:rPr>
              <w:t>Hukkunud</w:t>
            </w:r>
          </w:p>
        </w:tc>
        <w:tc>
          <w:tcPr>
            <w:tcW w:w="1093" w:type="dxa"/>
          </w:tcPr>
          <w:p w14:paraId="64C84C5C" w14:textId="74220B47" w:rsidR="00B85BFC" w:rsidRDefault="00B85BFC" w:rsidP="00963304">
            <w:pPr>
              <w:jc w:val="right"/>
            </w:pPr>
            <w:r>
              <w:t>21</w:t>
            </w:r>
          </w:p>
        </w:tc>
        <w:tc>
          <w:tcPr>
            <w:tcW w:w="1070" w:type="dxa"/>
          </w:tcPr>
          <w:p w14:paraId="73263F09" w14:textId="39A0755C" w:rsidR="00B85BFC" w:rsidRDefault="00B85BFC" w:rsidP="00963304">
            <w:pPr>
              <w:jc w:val="right"/>
            </w:pPr>
            <w:r>
              <w:t>10</w:t>
            </w:r>
          </w:p>
        </w:tc>
        <w:tc>
          <w:tcPr>
            <w:tcW w:w="1216" w:type="dxa"/>
          </w:tcPr>
          <w:p w14:paraId="1D4D1F67" w14:textId="6D6F1F7D" w:rsidR="00B85BFC" w:rsidRDefault="00B85BFC" w:rsidP="00963304">
            <w:pPr>
              <w:jc w:val="right"/>
            </w:pPr>
            <w:r>
              <w:t>16</w:t>
            </w:r>
          </w:p>
        </w:tc>
        <w:tc>
          <w:tcPr>
            <w:tcW w:w="990" w:type="dxa"/>
          </w:tcPr>
          <w:p w14:paraId="32BA71E2" w14:textId="11D3084E" w:rsidR="00B85BFC" w:rsidRDefault="00B85BFC" w:rsidP="00963304">
            <w:pPr>
              <w:jc w:val="right"/>
            </w:pPr>
            <w:r>
              <w:t>16</w:t>
            </w:r>
          </w:p>
        </w:tc>
        <w:tc>
          <w:tcPr>
            <w:tcW w:w="1229" w:type="dxa"/>
          </w:tcPr>
          <w:p w14:paraId="35AFBF2C" w14:textId="0F646DAC" w:rsidR="00B85BFC" w:rsidRDefault="00B85BFC" w:rsidP="00963304">
            <w:pPr>
              <w:jc w:val="right"/>
            </w:pPr>
            <w:r>
              <w:t>5</w:t>
            </w:r>
          </w:p>
        </w:tc>
        <w:tc>
          <w:tcPr>
            <w:tcW w:w="1011" w:type="dxa"/>
          </w:tcPr>
          <w:p w14:paraId="3ADD4184" w14:textId="2CF264A9" w:rsidR="00B85BFC" w:rsidRDefault="00B85BFC" w:rsidP="00963304">
            <w:pPr>
              <w:jc w:val="right"/>
            </w:pPr>
            <w:r>
              <w:t>69</w:t>
            </w:r>
          </w:p>
        </w:tc>
      </w:tr>
      <w:tr w:rsidR="00B85BFC" w14:paraId="2F749E68" w14:textId="77777777" w:rsidTr="00016276">
        <w:tc>
          <w:tcPr>
            <w:tcW w:w="1354" w:type="dxa"/>
          </w:tcPr>
          <w:p w14:paraId="3936DE71" w14:textId="0258ADF2" w:rsidR="00B85BFC" w:rsidRPr="00963304" w:rsidRDefault="00B85BFC" w:rsidP="00CE7397">
            <w:pPr>
              <w:jc w:val="both"/>
              <w:rPr>
                <w:b/>
                <w:bCs/>
              </w:rPr>
            </w:pPr>
            <w:r w:rsidRPr="00963304">
              <w:rPr>
                <w:b/>
                <w:bCs/>
              </w:rPr>
              <w:t>Vigastatud</w:t>
            </w:r>
          </w:p>
        </w:tc>
        <w:tc>
          <w:tcPr>
            <w:tcW w:w="1093" w:type="dxa"/>
          </w:tcPr>
          <w:p w14:paraId="090075C9" w14:textId="38D0A466" w:rsidR="00B85BFC" w:rsidRDefault="00B85BFC" w:rsidP="00963304">
            <w:pPr>
              <w:jc w:val="right"/>
            </w:pPr>
            <w:r>
              <w:t>416</w:t>
            </w:r>
          </w:p>
        </w:tc>
        <w:tc>
          <w:tcPr>
            <w:tcW w:w="1070" w:type="dxa"/>
          </w:tcPr>
          <w:p w14:paraId="71B36699" w14:textId="312F8D07" w:rsidR="00B85BFC" w:rsidRDefault="00B85BFC" w:rsidP="00963304">
            <w:pPr>
              <w:jc w:val="right"/>
            </w:pPr>
            <w:r>
              <w:t>207</w:t>
            </w:r>
          </w:p>
        </w:tc>
        <w:tc>
          <w:tcPr>
            <w:tcW w:w="1216" w:type="dxa"/>
          </w:tcPr>
          <w:p w14:paraId="0A73FFD6" w14:textId="1B329935" w:rsidR="00B85BFC" w:rsidRDefault="00B85BFC" w:rsidP="00963304">
            <w:pPr>
              <w:jc w:val="right"/>
            </w:pPr>
            <w:r>
              <w:t>334</w:t>
            </w:r>
          </w:p>
        </w:tc>
        <w:tc>
          <w:tcPr>
            <w:tcW w:w="990" w:type="dxa"/>
          </w:tcPr>
          <w:p w14:paraId="1F2A58C9" w14:textId="7EDAD800" w:rsidR="00B85BFC" w:rsidRDefault="00B85BFC" w:rsidP="00963304">
            <w:pPr>
              <w:jc w:val="right"/>
            </w:pPr>
            <w:r>
              <w:t>1</w:t>
            </w:r>
            <w:r w:rsidR="00321D2D">
              <w:t xml:space="preserve"> </w:t>
            </w:r>
            <w:r>
              <w:t>456</w:t>
            </w:r>
          </w:p>
        </w:tc>
        <w:tc>
          <w:tcPr>
            <w:tcW w:w="1229" w:type="dxa"/>
          </w:tcPr>
          <w:p w14:paraId="369CD8A8" w14:textId="496992E8" w:rsidR="00B85BFC" w:rsidRDefault="00B85BFC" w:rsidP="00963304">
            <w:pPr>
              <w:jc w:val="right"/>
            </w:pPr>
            <w:r>
              <w:t>270</w:t>
            </w:r>
          </w:p>
        </w:tc>
        <w:tc>
          <w:tcPr>
            <w:tcW w:w="1011" w:type="dxa"/>
          </w:tcPr>
          <w:p w14:paraId="722C7AEC" w14:textId="27904AA8" w:rsidR="00B85BFC" w:rsidRDefault="00B85BFC" w:rsidP="00963304">
            <w:pPr>
              <w:jc w:val="right"/>
            </w:pPr>
            <w:r>
              <w:t>2</w:t>
            </w:r>
            <w:r w:rsidR="00321D2D">
              <w:t xml:space="preserve"> </w:t>
            </w:r>
            <w:r>
              <w:t>687</w:t>
            </w:r>
          </w:p>
        </w:tc>
      </w:tr>
      <w:tr w:rsidR="00B708BA" w14:paraId="6D1DF1CB" w14:textId="77777777" w:rsidTr="00016276">
        <w:tc>
          <w:tcPr>
            <w:tcW w:w="1354" w:type="dxa"/>
          </w:tcPr>
          <w:p w14:paraId="4A7FE653" w14:textId="27323537" w:rsidR="00B708BA" w:rsidRPr="00963304" w:rsidRDefault="00B708BA" w:rsidP="00CE7397">
            <w:pPr>
              <w:jc w:val="both"/>
              <w:rPr>
                <w:b/>
                <w:bCs/>
              </w:rPr>
            </w:pPr>
            <w:r w:rsidRPr="00963304">
              <w:rPr>
                <w:b/>
                <w:bCs/>
              </w:rPr>
              <w:t>Indeks</w:t>
            </w:r>
          </w:p>
        </w:tc>
        <w:tc>
          <w:tcPr>
            <w:tcW w:w="1093" w:type="dxa"/>
          </w:tcPr>
          <w:p w14:paraId="27B3E687" w14:textId="0B797F51" w:rsidR="00B708BA" w:rsidRDefault="00B708BA" w:rsidP="00963304">
            <w:pPr>
              <w:jc w:val="right"/>
            </w:pPr>
            <w:r>
              <w:t>391</w:t>
            </w:r>
          </w:p>
        </w:tc>
        <w:tc>
          <w:tcPr>
            <w:tcW w:w="1070" w:type="dxa"/>
          </w:tcPr>
          <w:p w14:paraId="3B9FA3DB" w14:textId="53B3206C" w:rsidR="00B708BA" w:rsidRDefault="00B708BA" w:rsidP="00963304">
            <w:pPr>
              <w:jc w:val="right"/>
            </w:pPr>
            <w:r>
              <w:t>128</w:t>
            </w:r>
          </w:p>
        </w:tc>
        <w:tc>
          <w:tcPr>
            <w:tcW w:w="1216" w:type="dxa"/>
          </w:tcPr>
          <w:p w14:paraId="765DE817" w14:textId="5B3AACC1" w:rsidR="00B708BA" w:rsidRDefault="00B708BA" w:rsidP="00963304">
            <w:pPr>
              <w:jc w:val="right"/>
            </w:pPr>
            <w:r>
              <w:t>39</w:t>
            </w:r>
          </w:p>
        </w:tc>
        <w:tc>
          <w:tcPr>
            <w:tcW w:w="990" w:type="dxa"/>
          </w:tcPr>
          <w:p w14:paraId="0B9DAAE7" w14:textId="35A8AFF0" w:rsidR="00B708BA" w:rsidRDefault="00B708BA" w:rsidP="00963304">
            <w:pPr>
              <w:jc w:val="right"/>
            </w:pPr>
            <w:r>
              <w:t>299</w:t>
            </w:r>
          </w:p>
        </w:tc>
        <w:tc>
          <w:tcPr>
            <w:tcW w:w="1229" w:type="dxa"/>
          </w:tcPr>
          <w:p w14:paraId="3AB20CCD" w14:textId="1836A7DB" w:rsidR="00B708BA" w:rsidRDefault="00B708BA" w:rsidP="00963304">
            <w:pPr>
              <w:jc w:val="right"/>
            </w:pPr>
            <w:r>
              <w:t>18</w:t>
            </w:r>
          </w:p>
        </w:tc>
        <w:tc>
          <w:tcPr>
            <w:tcW w:w="1011" w:type="dxa"/>
          </w:tcPr>
          <w:p w14:paraId="5BA1E6BE" w14:textId="09D5F357" w:rsidR="00B708BA" w:rsidRDefault="00B708BA" w:rsidP="00963304">
            <w:pPr>
              <w:jc w:val="right"/>
            </w:pPr>
            <w:r>
              <w:t>86</w:t>
            </w:r>
          </w:p>
        </w:tc>
      </w:tr>
    </w:tbl>
    <w:p w14:paraId="697697B6" w14:textId="77777777" w:rsidR="00236D59" w:rsidRDefault="00236D59" w:rsidP="00CE7397">
      <w:pPr>
        <w:jc w:val="both"/>
      </w:pPr>
    </w:p>
    <w:p w14:paraId="52F5E729" w14:textId="1A06E77F" w:rsidR="008B0681" w:rsidRDefault="008B0681" w:rsidP="00CE7397">
      <w:pPr>
        <w:jc w:val="both"/>
      </w:pPr>
      <w:r>
        <w:t xml:space="preserve">Kas selline lähenemine on aga loogiline? Ohtu võiks hinnata mitte </w:t>
      </w:r>
      <w:r w:rsidR="00B844A3">
        <w:t xml:space="preserve">ainult </w:t>
      </w:r>
      <w:r>
        <w:t>tee</w:t>
      </w:r>
      <w:r w:rsidR="00B844A3">
        <w:t>devõrgu</w:t>
      </w:r>
      <w:r>
        <w:t xml:space="preserve"> vaatevinklist (juhtumeid, hukkunuid, vigastatuid  tee </w:t>
      </w:r>
      <w:r w:rsidR="006B15E4">
        <w:t xml:space="preserve">ühe km </w:t>
      </w:r>
      <w:r>
        <w:t>kohta)</w:t>
      </w:r>
      <w:r w:rsidR="006B15E4">
        <w:t>,</w:t>
      </w:r>
      <w:r>
        <w:t xml:space="preserve"> vaid </w:t>
      </w:r>
      <w:r w:rsidR="00B844A3">
        <w:t xml:space="preserve">ka kõigi sõidukite </w:t>
      </w:r>
      <w:r>
        <w:lastRenderedPageBreak/>
        <w:t>läbisõidu järgi</w:t>
      </w:r>
      <w:r w:rsidR="006B15E4">
        <w:t>.</w:t>
      </w:r>
      <w:r>
        <w:t xml:space="preserve"> </w:t>
      </w:r>
      <w:r w:rsidR="006B15E4">
        <w:t>S</w:t>
      </w:r>
      <w:r>
        <w:t xml:space="preserve">ee kas meiega midagi </w:t>
      </w:r>
      <w:r w:rsidR="006B15E4">
        <w:t xml:space="preserve">võib liikluses juhtuda </w:t>
      </w:r>
      <w:r>
        <w:t xml:space="preserve">on </w:t>
      </w:r>
      <w:r w:rsidR="006B15E4">
        <w:t xml:space="preserve">ju otseselt </w:t>
      </w:r>
      <w:r>
        <w:t xml:space="preserve">seotud sellega kui palju me </w:t>
      </w:r>
      <w:r w:rsidR="006B15E4">
        <w:t xml:space="preserve">kõik </w:t>
      </w:r>
      <w:r w:rsidR="002B1E3C">
        <w:t>teedel</w:t>
      </w:r>
      <w:r w:rsidR="006B15E4">
        <w:t xml:space="preserve"> </w:t>
      </w:r>
      <w:r>
        <w:t>liigume.</w:t>
      </w:r>
      <w:r w:rsidR="004A0A0A">
        <w:t xml:space="preserve"> </w:t>
      </w:r>
      <w:r>
        <w:t xml:space="preserve"> Riigiteede osas on seda </w:t>
      </w:r>
      <w:r w:rsidR="00900AE1">
        <w:t xml:space="preserve">üsna lihtne </w:t>
      </w:r>
      <w:r>
        <w:t xml:space="preserve">hinnata, sest </w:t>
      </w:r>
      <w:r w:rsidR="00900AE1">
        <w:t xml:space="preserve">meil on olemas andmed </w:t>
      </w:r>
      <w:r>
        <w:t>riigiteede liikluse</w:t>
      </w:r>
      <w:r w:rsidR="00900AE1">
        <w:t xml:space="preserve"> iseloomu kohta </w:t>
      </w:r>
      <w:r w:rsidR="00AB4DF8">
        <w:t xml:space="preserve">igas tunnis </w:t>
      </w:r>
      <w:r w:rsidR="00900AE1">
        <w:t xml:space="preserve">- </w:t>
      </w:r>
      <w:r>
        <w:t xml:space="preserve"> </w:t>
      </w:r>
      <w:r w:rsidR="002C3EE5">
        <w:t xml:space="preserve">sõidukite </w:t>
      </w:r>
      <w:r>
        <w:t>arv</w:t>
      </w:r>
      <w:r w:rsidR="00900AE1">
        <w:t>,</w:t>
      </w:r>
      <w:r>
        <w:t xml:space="preserve"> </w:t>
      </w:r>
      <w:r w:rsidR="00900AE1">
        <w:t>lii</w:t>
      </w:r>
      <w:r w:rsidR="002C3EE5">
        <w:t>k</w:t>
      </w:r>
      <w:r w:rsidR="00900AE1">
        <w:t xml:space="preserve"> </w:t>
      </w:r>
      <w:r w:rsidR="00EE2F15">
        <w:t xml:space="preserve">ja </w:t>
      </w:r>
      <w:r w:rsidR="00900AE1">
        <w:t xml:space="preserve">kiirus, mida mõõdetakse </w:t>
      </w:r>
      <w:r w:rsidR="00672ED4">
        <w:t>erinevates loenduspunktides</w:t>
      </w:r>
      <w:r w:rsidR="00900AE1">
        <w:t>.</w:t>
      </w:r>
      <w:r w:rsidR="001F6329">
        <w:t xml:space="preserve"> </w:t>
      </w:r>
      <w:r w:rsidR="00672ED4">
        <w:t>M</w:t>
      </w:r>
      <w:r>
        <w:t>udeli</w:t>
      </w:r>
      <w:r w:rsidR="00900AE1">
        <w:t xml:space="preserve">tega </w:t>
      </w:r>
      <w:r>
        <w:t xml:space="preserve">tuletatakse info nende teede kohta, kus antud aastal liiklust ei loetud. Oluliselt keerulisem ja ainult kaudsete andmete kaudu </w:t>
      </w:r>
      <w:r w:rsidR="00EE2F15">
        <w:t xml:space="preserve">on </w:t>
      </w:r>
      <w:r>
        <w:t xml:space="preserve">tuletatav läbisõit KOV teedel/tänavatel. </w:t>
      </w:r>
      <w:r w:rsidR="001F6329">
        <w:t xml:space="preserve">Ega mujal maailmas probleemid </w:t>
      </w:r>
      <w:r w:rsidR="007F3DD1">
        <w:t xml:space="preserve">pole </w:t>
      </w:r>
      <w:r w:rsidR="001F6329">
        <w:t xml:space="preserve">teistsugused ja seetõttu ei kasutatagi võrdluseks läbisõidukeskseid numbreid. Kui, siis vaid riigi </w:t>
      </w:r>
      <w:r w:rsidR="007F3DD1">
        <w:t xml:space="preserve">kui terviku </w:t>
      </w:r>
      <w:r w:rsidR="001F6329">
        <w:t>tasemel</w:t>
      </w:r>
      <w:r w:rsidR="007F3DD1">
        <w:t>,</w:t>
      </w:r>
      <w:r w:rsidR="001F6329">
        <w:t xml:space="preserve"> sest statistikud siiski huvituvad summaarsest läbisõidust ja seda võrreldakse nii ülevaatustel fikseeritud läbisõidunumbrite kui kütusemüügi</w:t>
      </w:r>
      <w:r w:rsidR="007F3DD1">
        <w:t xml:space="preserve"> kaudu tuletades</w:t>
      </w:r>
      <w:r w:rsidR="001F6329">
        <w:t xml:space="preserve">. </w:t>
      </w:r>
      <w:r>
        <w:t>Riigiteede liikluse andmetel on just 2+2 ristlõikega teed kõige ohutumad</w:t>
      </w:r>
      <w:r w:rsidR="006759B4">
        <w:t xml:space="preserve"> – läbisõidukilomeetri kohta arvestatult.</w:t>
      </w:r>
      <w:r w:rsidR="00764E45">
        <w:t xml:space="preserve"> Autopargi läbisõitu on viimati uuritud 2023 andmetel, </w:t>
      </w:r>
      <w:r w:rsidR="00104FF1">
        <w:t>riigiteede läbisõit on kasvanud 2,5% ja eeldame sarnast kasvu ka KOV teedel/tänavatel.</w:t>
      </w:r>
    </w:p>
    <w:tbl>
      <w:tblPr>
        <w:tblStyle w:val="TableGrid"/>
        <w:tblW w:w="9246" w:type="dxa"/>
        <w:tblLook w:val="04A0" w:firstRow="1" w:lastRow="0" w:firstColumn="1" w:lastColumn="0" w:noHBand="0" w:noVBand="1"/>
      </w:tblPr>
      <w:tblGrid>
        <w:gridCol w:w="2972"/>
        <w:gridCol w:w="823"/>
        <w:gridCol w:w="830"/>
        <w:gridCol w:w="852"/>
        <w:gridCol w:w="1119"/>
        <w:gridCol w:w="789"/>
        <w:gridCol w:w="933"/>
        <w:gridCol w:w="928"/>
      </w:tblGrid>
      <w:tr w:rsidR="00104FF1" w14:paraId="0EB874A7" w14:textId="49236361" w:rsidTr="0000314C">
        <w:tc>
          <w:tcPr>
            <w:tcW w:w="2972" w:type="dxa"/>
          </w:tcPr>
          <w:p w14:paraId="3B298D12" w14:textId="5222FB0A" w:rsidR="00104FF1" w:rsidRPr="00CF17D4" w:rsidRDefault="00CF17D4" w:rsidP="009A469B">
            <w:pPr>
              <w:jc w:val="both"/>
              <w:rPr>
                <w:b/>
                <w:bCs/>
              </w:rPr>
            </w:pPr>
            <w:r w:rsidRPr="00CF17D4">
              <w:rPr>
                <w:b/>
                <w:bCs/>
              </w:rPr>
              <w:t>202</w:t>
            </w:r>
            <w:r w:rsidR="00963304">
              <w:rPr>
                <w:b/>
                <w:bCs/>
              </w:rPr>
              <w:t>4</w:t>
            </w:r>
          </w:p>
        </w:tc>
        <w:tc>
          <w:tcPr>
            <w:tcW w:w="3624" w:type="dxa"/>
            <w:gridSpan w:val="4"/>
          </w:tcPr>
          <w:p w14:paraId="08DB18BB" w14:textId="5F3CE079" w:rsidR="00104FF1" w:rsidRPr="00EA5457" w:rsidRDefault="00104FF1" w:rsidP="009A469B">
            <w:pPr>
              <w:jc w:val="both"/>
              <w:rPr>
                <w:b/>
                <w:bCs/>
              </w:rPr>
            </w:pPr>
            <w:r w:rsidRPr="00EA5457">
              <w:rPr>
                <w:b/>
                <w:bCs/>
              </w:rPr>
              <w:t>Riigi</w:t>
            </w:r>
            <w:r w:rsidR="0000314C">
              <w:rPr>
                <w:b/>
                <w:bCs/>
              </w:rPr>
              <w:t>maan</w:t>
            </w:r>
            <w:r w:rsidRPr="00EA5457">
              <w:rPr>
                <w:b/>
                <w:bCs/>
              </w:rPr>
              <w:t>teed</w:t>
            </w:r>
          </w:p>
        </w:tc>
        <w:tc>
          <w:tcPr>
            <w:tcW w:w="1722" w:type="dxa"/>
            <w:gridSpan w:val="2"/>
          </w:tcPr>
          <w:p w14:paraId="2BE32E8E" w14:textId="5CC13431" w:rsidR="00104FF1" w:rsidRPr="00EA5457" w:rsidRDefault="00104FF1" w:rsidP="009A469B">
            <w:pPr>
              <w:jc w:val="both"/>
              <w:rPr>
                <w:b/>
                <w:bCs/>
              </w:rPr>
            </w:pPr>
            <w:r w:rsidRPr="00EA5457">
              <w:rPr>
                <w:b/>
                <w:bCs/>
              </w:rPr>
              <w:t>Vallateed</w:t>
            </w:r>
          </w:p>
        </w:tc>
        <w:tc>
          <w:tcPr>
            <w:tcW w:w="0" w:type="auto"/>
          </w:tcPr>
          <w:p w14:paraId="6DA862EB" w14:textId="2A6BB091" w:rsidR="00104FF1" w:rsidRPr="00EA5457" w:rsidRDefault="00104FF1" w:rsidP="009A469B">
            <w:pPr>
              <w:jc w:val="both"/>
              <w:rPr>
                <w:b/>
                <w:bCs/>
              </w:rPr>
            </w:pPr>
            <w:r w:rsidRPr="00EA5457">
              <w:rPr>
                <w:b/>
                <w:bCs/>
              </w:rPr>
              <w:t>KOKKU</w:t>
            </w:r>
          </w:p>
        </w:tc>
      </w:tr>
      <w:tr w:rsidR="00104FF1" w14:paraId="672EAE10" w14:textId="6FE7B3AD" w:rsidTr="0000314C">
        <w:trPr>
          <w:trHeight w:val="460"/>
        </w:trPr>
        <w:tc>
          <w:tcPr>
            <w:tcW w:w="2972" w:type="dxa"/>
          </w:tcPr>
          <w:p w14:paraId="555FD779" w14:textId="77777777" w:rsidR="00104FF1" w:rsidRDefault="00104FF1" w:rsidP="009A469B">
            <w:pPr>
              <w:jc w:val="both"/>
            </w:pPr>
          </w:p>
        </w:tc>
        <w:tc>
          <w:tcPr>
            <w:tcW w:w="822" w:type="dxa"/>
          </w:tcPr>
          <w:p w14:paraId="58DA2E9F" w14:textId="4C5DD12B" w:rsidR="00104FF1" w:rsidRPr="00EA5457" w:rsidRDefault="00104FF1" w:rsidP="009A469B">
            <w:pPr>
              <w:jc w:val="both"/>
              <w:rPr>
                <w:b/>
                <w:bCs/>
              </w:rPr>
            </w:pPr>
            <w:r w:rsidRPr="00EA5457">
              <w:rPr>
                <w:b/>
                <w:bCs/>
              </w:rPr>
              <w:t>Põh</w:t>
            </w:r>
            <w:r w:rsidR="0000314C">
              <w:rPr>
                <w:b/>
                <w:bCs/>
              </w:rPr>
              <w:t>i</w:t>
            </w:r>
          </w:p>
        </w:tc>
        <w:tc>
          <w:tcPr>
            <w:tcW w:w="829" w:type="dxa"/>
          </w:tcPr>
          <w:p w14:paraId="453B78A8" w14:textId="67F349F6" w:rsidR="00104FF1" w:rsidRPr="00EA5457" w:rsidRDefault="00104FF1" w:rsidP="009A469B">
            <w:pPr>
              <w:jc w:val="both"/>
              <w:rPr>
                <w:b/>
                <w:bCs/>
              </w:rPr>
            </w:pPr>
            <w:r w:rsidRPr="00EA5457">
              <w:rPr>
                <w:b/>
                <w:bCs/>
              </w:rPr>
              <w:t>Tugi</w:t>
            </w:r>
          </w:p>
        </w:tc>
        <w:tc>
          <w:tcPr>
            <w:tcW w:w="0" w:type="auto"/>
          </w:tcPr>
          <w:p w14:paraId="15909848" w14:textId="1D9FB48A" w:rsidR="00104FF1" w:rsidRPr="00EA5457" w:rsidRDefault="00104FF1" w:rsidP="009A469B">
            <w:pPr>
              <w:jc w:val="both"/>
              <w:rPr>
                <w:b/>
                <w:bCs/>
              </w:rPr>
            </w:pPr>
            <w:r w:rsidRPr="00EA5457">
              <w:rPr>
                <w:b/>
                <w:bCs/>
              </w:rPr>
              <w:t>Kõrval</w:t>
            </w:r>
          </w:p>
        </w:tc>
        <w:tc>
          <w:tcPr>
            <w:tcW w:w="0" w:type="auto"/>
          </w:tcPr>
          <w:p w14:paraId="2315840F" w14:textId="282B4C59" w:rsidR="00104FF1" w:rsidRPr="00EA5457" w:rsidRDefault="00104FF1" w:rsidP="009A469B">
            <w:pPr>
              <w:jc w:val="both"/>
              <w:rPr>
                <w:b/>
                <w:bCs/>
              </w:rPr>
            </w:pPr>
            <w:r w:rsidRPr="00EA5457">
              <w:rPr>
                <w:b/>
                <w:bCs/>
              </w:rPr>
              <w:t>Ühendus</w:t>
            </w:r>
          </w:p>
        </w:tc>
        <w:tc>
          <w:tcPr>
            <w:tcW w:w="0" w:type="auto"/>
          </w:tcPr>
          <w:p w14:paraId="45E228B9" w14:textId="00964827" w:rsidR="00104FF1" w:rsidRPr="00EA5457" w:rsidRDefault="00104FF1" w:rsidP="009A469B">
            <w:pPr>
              <w:jc w:val="both"/>
              <w:rPr>
                <w:b/>
                <w:bCs/>
              </w:rPr>
            </w:pPr>
            <w:r w:rsidRPr="00EA5457">
              <w:rPr>
                <w:b/>
                <w:bCs/>
              </w:rPr>
              <w:t>Tänav</w:t>
            </w:r>
          </w:p>
        </w:tc>
        <w:tc>
          <w:tcPr>
            <w:tcW w:w="933" w:type="dxa"/>
          </w:tcPr>
          <w:p w14:paraId="07B88288" w14:textId="088DA78C" w:rsidR="00104FF1" w:rsidRPr="00EA5457" w:rsidRDefault="0000314C" w:rsidP="009A469B">
            <w:pPr>
              <w:jc w:val="both"/>
              <w:rPr>
                <w:b/>
                <w:bCs/>
              </w:rPr>
            </w:pPr>
            <w:r>
              <w:rPr>
                <w:b/>
                <w:bCs/>
              </w:rPr>
              <w:t>T</w:t>
            </w:r>
            <w:r w:rsidR="00104FF1" w:rsidRPr="00EA5457">
              <w:rPr>
                <w:b/>
                <w:bCs/>
              </w:rPr>
              <w:t>ee</w:t>
            </w:r>
          </w:p>
        </w:tc>
        <w:tc>
          <w:tcPr>
            <w:tcW w:w="0" w:type="auto"/>
          </w:tcPr>
          <w:p w14:paraId="26E4D9AD" w14:textId="5FD22C67" w:rsidR="00104FF1" w:rsidRPr="00EA5457" w:rsidRDefault="0034502D" w:rsidP="009A469B">
            <w:pPr>
              <w:jc w:val="both"/>
              <w:rPr>
                <w:b/>
                <w:bCs/>
              </w:rPr>
            </w:pPr>
            <w:r w:rsidRPr="00EA5457">
              <w:rPr>
                <w:b/>
                <w:bCs/>
              </w:rPr>
              <w:t>Avalik</w:t>
            </w:r>
          </w:p>
        </w:tc>
      </w:tr>
      <w:tr w:rsidR="00EA5457" w14:paraId="36C0C56F" w14:textId="347F95FE" w:rsidTr="0000314C">
        <w:tc>
          <w:tcPr>
            <w:tcW w:w="2972" w:type="dxa"/>
          </w:tcPr>
          <w:p w14:paraId="04D88697" w14:textId="129DD68F" w:rsidR="00EA5457" w:rsidRPr="00EA5457" w:rsidRDefault="00EA5457" w:rsidP="00EA5457">
            <w:pPr>
              <w:rPr>
                <w:b/>
                <w:bCs/>
              </w:rPr>
            </w:pPr>
            <w:r w:rsidRPr="00EA5457">
              <w:rPr>
                <w:b/>
                <w:bCs/>
              </w:rPr>
              <w:t>Km</w:t>
            </w:r>
          </w:p>
        </w:tc>
        <w:tc>
          <w:tcPr>
            <w:tcW w:w="822" w:type="dxa"/>
            <w:vAlign w:val="center"/>
          </w:tcPr>
          <w:p w14:paraId="01AFFC1E" w14:textId="4B631CDC" w:rsidR="00EA5457" w:rsidRPr="00EA5457" w:rsidRDefault="00EA5457" w:rsidP="00EA5457">
            <w:pPr>
              <w:jc w:val="right"/>
              <w:rPr>
                <w:rFonts w:ascii="Calibri" w:hAnsi="Calibri" w:cs="Calibri"/>
              </w:rPr>
            </w:pPr>
            <w:r w:rsidRPr="00EA5457">
              <w:rPr>
                <w:rFonts w:ascii="Calibri" w:hAnsi="Calibri" w:cs="Calibri"/>
                <w:color w:val="000000"/>
              </w:rPr>
              <w:t>1 603</w:t>
            </w:r>
          </w:p>
        </w:tc>
        <w:tc>
          <w:tcPr>
            <w:tcW w:w="829" w:type="dxa"/>
            <w:vAlign w:val="center"/>
          </w:tcPr>
          <w:p w14:paraId="5767B349" w14:textId="0999A4C6" w:rsidR="00EA5457" w:rsidRPr="00EA5457" w:rsidRDefault="00EA5457" w:rsidP="00EA5457">
            <w:pPr>
              <w:jc w:val="right"/>
              <w:rPr>
                <w:rFonts w:ascii="Calibri" w:hAnsi="Calibri" w:cs="Calibri"/>
              </w:rPr>
            </w:pPr>
            <w:r w:rsidRPr="00EA5457">
              <w:rPr>
                <w:rFonts w:ascii="Calibri" w:hAnsi="Calibri" w:cs="Calibri"/>
                <w:color w:val="000000"/>
              </w:rPr>
              <w:t>2 407</w:t>
            </w:r>
          </w:p>
        </w:tc>
        <w:tc>
          <w:tcPr>
            <w:tcW w:w="0" w:type="auto"/>
            <w:vAlign w:val="center"/>
          </w:tcPr>
          <w:p w14:paraId="4055CDB1" w14:textId="15D53F87" w:rsidR="00EA5457" w:rsidRPr="00EA5457" w:rsidRDefault="00EA5457" w:rsidP="00EA5457">
            <w:pPr>
              <w:jc w:val="right"/>
              <w:rPr>
                <w:rFonts w:ascii="Calibri" w:hAnsi="Calibri" w:cs="Calibri"/>
              </w:rPr>
            </w:pPr>
            <w:r w:rsidRPr="00EA5457">
              <w:rPr>
                <w:rFonts w:ascii="Calibri" w:hAnsi="Calibri" w:cs="Calibri"/>
                <w:color w:val="000000"/>
              </w:rPr>
              <w:t>12 513</w:t>
            </w:r>
          </w:p>
        </w:tc>
        <w:tc>
          <w:tcPr>
            <w:tcW w:w="0" w:type="auto"/>
            <w:vAlign w:val="center"/>
          </w:tcPr>
          <w:p w14:paraId="125B9E57" w14:textId="6F53E1DD" w:rsidR="00EA5457" w:rsidRPr="00EA5457" w:rsidRDefault="00EA5457" w:rsidP="00EA5457">
            <w:pPr>
              <w:jc w:val="right"/>
              <w:rPr>
                <w:rFonts w:ascii="Calibri" w:hAnsi="Calibri" w:cs="Calibri"/>
              </w:rPr>
            </w:pPr>
            <w:r w:rsidRPr="00EA5457">
              <w:rPr>
                <w:rFonts w:ascii="Calibri" w:hAnsi="Calibri" w:cs="Calibri"/>
                <w:color w:val="000000"/>
              </w:rPr>
              <w:t>156</w:t>
            </w:r>
          </w:p>
        </w:tc>
        <w:tc>
          <w:tcPr>
            <w:tcW w:w="0" w:type="auto"/>
            <w:vAlign w:val="center"/>
          </w:tcPr>
          <w:p w14:paraId="2B899A9D" w14:textId="06DD2CB7" w:rsidR="00EA5457" w:rsidRPr="00EA5457" w:rsidRDefault="00EA5457" w:rsidP="00EA5457">
            <w:pPr>
              <w:jc w:val="right"/>
              <w:rPr>
                <w:rFonts w:ascii="Calibri" w:hAnsi="Calibri" w:cs="Calibri"/>
              </w:rPr>
            </w:pPr>
            <w:r w:rsidRPr="00EA5457">
              <w:rPr>
                <w:rFonts w:ascii="Calibri" w:hAnsi="Calibri" w:cs="Calibri"/>
                <w:color w:val="000000"/>
              </w:rPr>
              <w:t>5 402</w:t>
            </w:r>
          </w:p>
        </w:tc>
        <w:tc>
          <w:tcPr>
            <w:tcW w:w="933" w:type="dxa"/>
            <w:vAlign w:val="center"/>
          </w:tcPr>
          <w:p w14:paraId="262DF853" w14:textId="6E0C8AA2" w:rsidR="00EA5457" w:rsidRPr="00EA5457" w:rsidRDefault="00EA5457" w:rsidP="00EA5457">
            <w:pPr>
              <w:jc w:val="right"/>
              <w:rPr>
                <w:rFonts w:ascii="Calibri" w:hAnsi="Calibri" w:cs="Calibri"/>
              </w:rPr>
            </w:pPr>
            <w:r w:rsidRPr="00EA5457">
              <w:rPr>
                <w:rFonts w:ascii="Calibri" w:hAnsi="Calibri" w:cs="Calibri"/>
                <w:color w:val="000000"/>
              </w:rPr>
              <w:t>17 426</w:t>
            </w:r>
          </w:p>
        </w:tc>
        <w:tc>
          <w:tcPr>
            <w:tcW w:w="0" w:type="auto"/>
            <w:vAlign w:val="center"/>
          </w:tcPr>
          <w:p w14:paraId="1DAA0A71" w14:textId="1B8E417F" w:rsidR="00EA5457" w:rsidRPr="00EA5457" w:rsidRDefault="00EA5457" w:rsidP="00EA5457">
            <w:pPr>
              <w:jc w:val="right"/>
              <w:rPr>
                <w:rFonts w:ascii="Calibri" w:hAnsi="Calibri" w:cs="Calibri"/>
              </w:rPr>
            </w:pPr>
            <w:r w:rsidRPr="00EA5457">
              <w:rPr>
                <w:rFonts w:ascii="Calibri" w:hAnsi="Calibri" w:cs="Calibri"/>
                <w:color w:val="000000"/>
              </w:rPr>
              <w:t>39 508</w:t>
            </w:r>
          </w:p>
        </w:tc>
      </w:tr>
      <w:tr w:rsidR="00EA5457" w14:paraId="06C4AEF1" w14:textId="1F5F4A60" w:rsidTr="0000314C">
        <w:tc>
          <w:tcPr>
            <w:tcW w:w="2972" w:type="dxa"/>
          </w:tcPr>
          <w:p w14:paraId="4478768A" w14:textId="77777777" w:rsidR="00EA5457" w:rsidRDefault="004A042F" w:rsidP="00EA5457">
            <w:pPr>
              <w:rPr>
                <w:b/>
                <w:bCs/>
              </w:rPr>
            </w:pPr>
            <w:r>
              <w:rPr>
                <w:b/>
                <w:bCs/>
              </w:rPr>
              <w:t>Autot ööpäevas</w:t>
            </w:r>
          </w:p>
          <w:p w14:paraId="1C630DC4" w14:textId="5FBD82D9" w:rsidR="004A042F" w:rsidRPr="00EA5457" w:rsidRDefault="004A042F" w:rsidP="00EA5457">
            <w:pPr>
              <w:rPr>
                <w:b/>
                <w:bCs/>
              </w:rPr>
            </w:pPr>
            <w:r>
              <w:rPr>
                <w:b/>
                <w:bCs/>
              </w:rPr>
              <w:t>(aasta keskmine)</w:t>
            </w:r>
          </w:p>
        </w:tc>
        <w:tc>
          <w:tcPr>
            <w:tcW w:w="822" w:type="dxa"/>
            <w:vAlign w:val="center"/>
          </w:tcPr>
          <w:p w14:paraId="1F13D4E6" w14:textId="558834C6" w:rsidR="00EA5457" w:rsidRPr="00EA5457" w:rsidRDefault="00EA5457" w:rsidP="00EA5457">
            <w:pPr>
              <w:jc w:val="right"/>
              <w:rPr>
                <w:rFonts w:ascii="Calibri" w:hAnsi="Calibri" w:cs="Calibri"/>
              </w:rPr>
            </w:pPr>
            <w:r w:rsidRPr="00EA5457">
              <w:rPr>
                <w:rFonts w:ascii="Calibri" w:hAnsi="Calibri" w:cs="Calibri"/>
                <w:color w:val="000000"/>
              </w:rPr>
              <w:t>5 878</w:t>
            </w:r>
          </w:p>
        </w:tc>
        <w:tc>
          <w:tcPr>
            <w:tcW w:w="829" w:type="dxa"/>
            <w:vAlign w:val="center"/>
          </w:tcPr>
          <w:p w14:paraId="56DB33FA" w14:textId="4A734A77" w:rsidR="00EA5457" w:rsidRPr="00EA5457" w:rsidRDefault="00EA5457" w:rsidP="00EA5457">
            <w:pPr>
              <w:jc w:val="right"/>
              <w:rPr>
                <w:rFonts w:ascii="Calibri" w:hAnsi="Calibri" w:cs="Calibri"/>
              </w:rPr>
            </w:pPr>
            <w:r w:rsidRPr="00EA5457">
              <w:rPr>
                <w:rFonts w:ascii="Calibri" w:hAnsi="Calibri" w:cs="Calibri"/>
                <w:color w:val="000000"/>
              </w:rPr>
              <w:t>1 735</w:t>
            </w:r>
          </w:p>
        </w:tc>
        <w:tc>
          <w:tcPr>
            <w:tcW w:w="0" w:type="auto"/>
            <w:vAlign w:val="center"/>
          </w:tcPr>
          <w:p w14:paraId="3265CF0B" w14:textId="4A36BE25" w:rsidR="00EA5457" w:rsidRPr="00EA5457" w:rsidRDefault="00EA5457" w:rsidP="00EA5457">
            <w:pPr>
              <w:jc w:val="right"/>
              <w:rPr>
                <w:rFonts w:ascii="Calibri" w:hAnsi="Calibri" w:cs="Calibri"/>
              </w:rPr>
            </w:pPr>
            <w:r w:rsidRPr="00EA5457">
              <w:rPr>
                <w:rFonts w:ascii="Calibri" w:hAnsi="Calibri" w:cs="Calibri"/>
                <w:color w:val="000000"/>
              </w:rPr>
              <w:t>349</w:t>
            </w:r>
          </w:p>
        </w:tc>
        <w:tc>
          <w:tcPr>
            <w:tcW w:w="0" w:type="auto"/>
            <w:vAlign w:val="center"/>
          </w:tcPr>
          <w:p w14:paraId="37CA0EBF" w14:textId="1B78CCAD" w:rsidR="00EA5457" w:rsidRPr="00EA5457" w:rsidRDefault="00EA5457" w:rsidP="00EA5457">
            <w:pPr>
              <w:jc w:val="right"/>
              <w:rPr>
                <w:rFonts w:ascii="Calibri" w:hAnsi="Calibri" w:cs="Calibri"/>
              </w:rPr>
            </w:pPr>
            <w:r w:rsidRPr="00EA5457">
              <w:rPr>
                <w:rFonts w:ascii="Calibri" w:hAnsi="Calibri" w:cs="Calibri"/>
                <w:color w:val="000000"/>
              </w:rPr>
              <w:t>1 198</w:t>
            </w:r>
          </w:p>
        </w:tc>
        <w:tc>
          <w:tcPr>
            <w:tcW w:w="0" w:type="auto"/>
            <w:vAlign w:val="center"/>
          </w:tcPr>
          <w:p w14:paraId="052B3D8C" w14:textId="2D015807" w:rsidR="00EA5457" w:rsidRPr="00EA5457" w:rsidRDefault="00EA5457" w:rsidP="00EA5457">
            <w:pPr>
              <w:jc w:val="right"/>
              <w:rPr>
                <w:rFonts w:ascii="Calibri" w:hAnsi="Calibri" w:cs="Calibri"/>
              </w:rPr>
            </w:pPr>
            <w:r w:rsidRPr="00EA5457">
              <w:rPr>
                <w:rFonts w:ascii="Calibri" w:hAnsi="Calibri" w:cs="Calibri"/>
                <w:color w:val="000000"/>
              </w:rPr>
              <w:t>2 566</w:t>
            </w:r>
          </w:p>
        </w:tc>
        <w:tc>
          <w:tcPr>
            <w:tcW w:w="933" w:type="dxa"/>
            <w:vAlign w:val="center"/>
          </w:tcPr>
          <w:p w14:paraId="2559EB1B" w14:textId="774D1592" w:rsidR="00EA5457" w:rsidRPr="00EA5457" w:rsidRDefault="00EA5457" w:rsidP="00EA5457">
            <w:pPr>
              <w:jc w:val="right"/>
              <w:rPr>
                <w:rFonts w:ascii="Calibri" w:hAnsi="Calibri" w:cs="Calibri"/>
              </w:rPr>
            </w:pPr>
            <w:r w:rsidRPr="00EA5457">
              <w:rPr>
                <w:rFonts w:ascii="Calibri" w:hAnsi="Calibri" w:cs="Calibri"/>
                <w:color w:val="000000"/>
              </w:rPr>
              <w:t>92</w:t>
            </w:r>
          </w:p>
        </w:tc>
        <w:tc>
          <w:tcPr>
            <w:tcW w:w="0" w:type="auto"/>
            <w:vAlign w:val="center"/>
          </w:tcPr>
          <w:p w14:paraId="25B4F6A1" w14:textId="5FFDFAFF" w:rsidR="00EA5457" w:rsidRPr="00EA5457" w:rsidRDefault="00EA5457" w:rsidP="00EA5457">
            <w:pPr>
              <w:jc w:val="right"/>
              <w:rPr>
                <w:rFonts w:ascii="Calibri" w:hAnsi="Calibri" w:cs="Calibri"/>
              </w:rPr>
            </w:pPr>
            <w:r w:rsidRPr="00EA5457">
              <w:rPr>
                <w:rFonts w:ascii="Calibri" w:hAnsi="Calibri" w:cs="Calibri"/>
                <w:color w:val="000000"/>
              </w:rPr>
              <w:t>851</w:t>
            </w:r>
          </w:p>
        </w:tc>
      </w:tr>
      <w:tr w:rsidR="00EA5457" w14:paraId="437915FD" w14:textId="2A664958" w:rsidTr="0000314C">
        <w:tc>
          <w:tcPr>
            <w:tcW w:w="2972" w:type="dxa"/>
          </w:tcPr>
          <w:p w14:paraId="42781424" w14:textId="43FA9DA5" w:rsidR="00EA5457" w:rsidRPr="00EA5457" w:rsidRDefault="00DC3D3B" w:rsidP="00EA5457">
            <w:pPr>
              <w:rPr>
                <w:b/>
                <w:bCs/>
              </w:rPr>
            </w:pPr>
            <w:r>
              <w:rPr>
                <w:b/>
                <w:bCs/>
              </w:rPr>
              <w:t>Kõigi s</w:t>
            </w:r>
            <w:r w:rsidR="00441AF6">
              <w:rPr>
                <w:b/>
                <w:bCs/>
              </w:rPr>
              <w:t>õidukite läbisõit aastas (m</w:t>
            </w:r>
            <w:r w:rsidR="00EA5457" w:rsidRPr="00EA5457">
              <w:rPr>
                <w:b/>
                <w:bCs/>
              </w:rPr>
              <w:t>ilj</w:t>
            </w:r>
            <w:r w:rsidR="00441AF6">
              <w:rPr>
                <w:b/>
                <w:bCs/>
              </w:rPr>
              <w:t>.</w:t>
            </w:r>
            <w:r w:rsidR="00EA5457" w:rsidRPr="00EA5457">
              <w:rPr>
                <w:b/>
                <w:bCs/>
              </w:rPr>
              <w:t xml:space="preserve"> km</w:t>
            </w:r>
            <w:r w:rsidR="00441AF6">
              <w:rPr>
                <w:b/>
                <w:bCs/>
              </w:rPr>
              <w:t>)</w:t>
            </w:r>
          </w:p>
        </w:tc>
        <w:tc>
          <w:tcPr>
            <w:tcW w:w="822" w:type="dxa"/>
            <w:vAlign w:val="center"/>
          </w:tcPr>
          <w:p w14:paraId="13A97296" w14:textId="7AECA71D" w:rsidR="00EA5457" w:rsidRPr="00EA5457" w:rsidRDefault="00EA5457" w:rsidP="00EA5457">
            <w:pPr>
              <w:jc w:val="right"/>
              <w:rPr>
                <w:rFonts w:ascii="Calibri" w:hAnsi="Calibri" w:cs="Calibri"/>
              </w:rPr>
            </w:pPr>
            <w:r w:rsidRPr="00EA5457">
              <w:rPr>
                <w:rFonts w:ascii="Calibri" w:hAnsi="Calibri" w:cs="Calibri"/>
                <w:color w:val="000000"/>
              </w:rPr>
              <w:t>3 442</w:t>
            </w:r>
          </w:p>
        </w:tc>
        <w:tc>
          <w:tcPr>
            <w:tcW w:w="829" w:type="dxa"/>
            <w:vAlign w:val="center"/>
          </w:tcPr>
          <w:p w14:paraId="669D9F3C" w14:textId="55F9AE58" w:rsidR="00EA5457" w:rsidRPr="00EA5457" w:rsidRDefault="00EA5457" w:rsidP="00EA5457">
            <w:pPr>
              <w:jc w:val="right"/>
              <w:rPr>
                <w:rFonts w:ascii="Calibri" w:hAnsi="Calibri" w:cs="Calibri"/>
              </w:rPr>
            </w:pPr>
            <w:r w:rsidRPr="00EA5457">
              <w:rPr>
                <w:rFonts w:ascii="Calibri" w:hAnsi="Calibri" w:cs="Calibri"/>
                <w:color w:val="000000"/>
              </w:rPr>
              <w:t>1 525</w:t>
            </w:r>
          </w:p>
        </w:tc>
        <w:tc>
          <w:tcPr>
            <w:tcW w:w="0" w:type="auto"/>
            <w:vAlign w:val="center"/>
          </w:tcPr>
          <w:p w14:paraId="47F2AA39" w14:textId="7831E87B" w:rsidR="00EA5457" w:rsidRPr="00EA5457" w:rsidRDefault="00EA5457" w:rsidP="00EA5457">
            <w:pPr>
              <w:jc w:val="right"/>
              <w:rPr>
                <w:rFonts w:ascii="Calibri" w:hAnsi="Calibri" w:cs="Calibri"/>
              </w:rPr>
            </w:pPr>
            <w:r w:rsidRPr="00EA5457">
              <w:rPr>
                <w:rFonts w:ascii="Calibri" w:hAnsi="Calibri" w:cs="Calibri"/>
                <w:color w:val="000000"/>
              </w:rPr>
              <w:t>1 596</w:t>
            </w:r>
          </w:p>
        </w:tc>
        <w:tc>
          <w:tcPr>
            <w:tcW w:w="0" w:type="auto"/>
            <w:vAlign w:val="center"/>
          </w:tcPr>
          <w:p w14:paraId="0BCFC47D" w14:textId="701FCBBA" w:rsidR="00EA5457" w:rsidRPr="00EA5457" w:rsidRDefault="00EA5457" w:rsidP="00EA5457">
            <w:pPr>
              <w:jc w:val="right"/>
              <w:rPr>
                <w:rFonts w:ascii="Calibri" w:hAnsi="Calibri" w:cs="Calibri"/>
              </w:rPr>
            </w:pPr>
            <w:r w:rsidRPr="00EA5457">
              <w:rPr>
                <w:rFonts w:ascii="Calibri" w:hAnsi="Calibri" w:cs="Calibri"/>
                <w:color w:val="000000"/>
              </w:rPr>
              <w:t>68</w:t>
            </w:r>
          </w:p>
        </w:tc>
        <w:tc>
          <w:tcPr>
            <w:tcW w:w="0" w:type="auto"/>
            <w:vAlign w:val="center"/>
          </w:tcPr>
          <w:p w14:paraId="75B55DEF" w14:textId="00FB835E" w:rsidR="00EA5457" w:rsidRPr="00EA5457" w:rsidRDefault="00EA5457" w:rsidP="00EA5457">
            <w:pPr>
              <w:jc w:val="right"/>
              <w:rPr>
                <w:rFonts w:ascii="Calibri" w:hAnsi="Calibri" w:cs="Calibri"/>
              </w:rPr>
            </w:pPr>
            <w:r w:rsidRPr="00EA5457">
              <w:rPr>
                <w:rFonts w:ascii="Calibri" w:hAnsi="Calibri" w:cs="Calibri"/>
                <w:color w:val="000000"/>
              </w:rPr>
              <w:t>5 062</w:t>
            </w:r>
          </w:p>
        </w:tc>
        <w:tc>
          <w:tcPr>
            <w:tcW w:w="933" w:type="dxa"/>
            <w:vAlign w:val="center"/>
          </w:tcPr>
          <w:p w14:paraId="781E227F" w14:textId="2011C9DC" w:rsidR="00EA5457" w:rsidRPr="00EA5457" w:rsidRDefault="00EA5457" w:rsidP="00EA5457">
            <w:pPr>
              <w:jc w:val="right"/>
              <w:rPr>
                <w:rFonts w:ascii="Calibri" w:hAnsi="Calibri" w:cs="Calibri"/>
              </w:rPr>
            </w:pPr>
            <w:r w:rsidRPr="00EA5457">
              <w:rPr>
                <w:rFonts w:ascii="Calibri" w:hAnsi="Calibri" w:cs="Calibri"/>
                <w:color w:val="000000"/>
              </w:rPr>
              <w:t>584</w:t>
            </w:r>
          </w:p>
        </w:tc>
        <w:tc>
          <w:tcPr>
            <w:tcW w:w="0" w:type="auto"/>
            <w:vAlign w:val="center"/>
          </w:tcPr>
          <w:p w14:paraId="31187A0E" w14:textId="0C539DFC" w:rsidR="00EA5457" w:rsidRPr="00EA5457" w:rsidRDefault="00EA5457" w:rsidP="00EA5457">
            <w:pPr>
              <w:jc w:val="right"/>
              <w:rPr>
                <w:rFonts w:ascii="Calibri" w:hAnsi="Calibri" w:cs="Calibri"/>
              </w:rPr>
            </w:pPr>
            <w:r w:rsidRPr="00EA5457">
              <w:rPr>
                <w:rFonts w:ascii="Calibri" w:hAnsi="Calibri" w:cs="Calibri"/>
                <w:color w:val="000000"/>
              </w:rPr>
              <w:t>12 279</w:t>
            </w:r>
          </w:p>
        </w:tc>
      </w:tr>
      <w:tr w:rsidR="00EA5457" w14:paraId="2F57FF45" w14:textId="5243F57A" w:rsidTr="0000314C">
        <w:tc>
          <w:tcPr>
            <w:tcW w:w="2972" w:type="dxa"/>
          </w:tcPr>
          <w:p w14:paraId="0FB10FEF" w14:textId="77777777" w:rsidR="00EA5457" w:rsidRDefault="00EA5457" w:rsidP="00EA5457">
            <w:pPr>
              <w:rPr>
                <w:b/>
                <w:bCs/>
              </w:rPr>
            </w:pPr>
            <w:r w:rsidRPr="00EA5457">
              <w:rPr>
                <w:b/>
                <w:bCs/>
              </w:rPr>
              <w:t>H</w:t>
            </w:r>
            <w:r>
              <w:rPr>
                <w:b/>
                <w:bCs/>
              </w:rPr>
              <w:t>ukkunut</w:t>
            </w:r>
            <w:r w:rsidRPr="00EA5457">
              <w:rPr>
                <w:b/>
                <w:bCs/>
              </w:rPr>
              <w:t>/</w:t>
            </w:r>
          </w:p>
          <w:p w14:paraId="07CBA9DC" w14:textId="62F943F6" w:rsidR="00EA5457" w:rsidRPr="00EA5457" w:rsidRDefault="00EA5457" w:rsidP="00EA5457">
            <w:pPr>
              <w:rPr>
                <w:b/>
                <w:bCs/>
              </w:rPr>
            </w:pPr>
            <w:r w:rsidRPr="00EA5457">
              <w:rPr>
                <w:b/>
                <w:bCs/>
              </w:rPr>
              <w:t>miljardi km kohta</w:t>
            </w:r>
          </w:p>
        </w:tc>
        <w:tc>
          <w:tcPr>
            <w:tcW w:w="822" w:type="dxa"/>
            <w:vAlign w:val="center"/>
          </w:tcPr>
          <w:p w14:paraId="2B4022C2" w14:textId="0493C3C1" w:rsidR="00EA5457" w:rsidRPr="00EA5457" w:rsidRDefault="00EA5457" w:rsidP="00EA5457">
            <w:pPr>
              <w:jc w:val="right"/>
              <w:rPr>
                <w:rFonts w:ascii="Calibri" w:hAnsi="Calibri" w:cs="Calibri"/>
              </w:rPr>
            </w:pPr>
            <w:r w:rsidRPr="00EA5457">
              <w:rPr>
                <w:rFonts w:ascii="Calibri" w:hAnsi="Calibri" w:cs="Calibri"/>
                <w:color w:val="000000"/>
              </w:rPr>
              <w:t>6.1</w:t>
            </w:r>
          </w:p>
        </w:tc>
        <w:tc>
          <w:tcPr>
            <w:tcW w:w="829" w:type="dxa"/>
            <w:vAlign w:val="center"/>
          </w:tcPr>
          <w:p w14:paraId="56822B0A" w14:textId="521F58CE" w:rsidR="00EA5457" w:rsidRPr="00EA5457" w:rsidRDefault="00EA5457" w:rsidP="00EA5457">
            <w:pPr>
              <w:jc w:val="right"/>
              <w:rPr>
                <w:rFonts w:ascii="Calibri" w:hAnsi="Calibri" w:cs="Calibri"/>
              </w:rPr>
            </w:pPr>
            <w:r w:rsidRPr="00EA5457">
              <w:rPr>
                <w:rFonts w:ascii="Calibri" w:hAnsi="Calibri" w:cs="Calibri"/>
                <w:color w:val="000000"/>
              </w:rPr>
              <w:t>6.6</w:t>
            </w:r>
          </w:p>
        </w:tc>
        <w:tc>
          <w:tcPr>
            <w:tcW w:w="0" w:type="auto"/>
            <w:vAlign w:val="center"/>
          </w:tcPr>
          <w:p w14:paraId="5ABA122C" w14:textId="3D237793" w:rsidR="00EA5457" w:rsidRPr="00EA5457" w:rsidRDefault="00EA5457" w:rsidP="00EA5457">
            <w:pPr>
              <w:jc w:val="right"/>
              <w:rPr>
                <w:rFonts w:ascii="Calibri" w:hAnsi="Calibri" w:cs="Calibri"/>
              </w:rPr>
            </w:pPr>
            <w:r w:rsidRPr="00EA5457">
              <w:rPr>
                <w:rFonts w:ascii="Calibri" w:hAnsi="Calibri" w:cs="Calibri"/>
                <w:color w:val="000000"/>
              </w:rPr>
              <w:t>10.0</w:t>
            </w:r>
          </w:p>
        </w:tc>
        <w:tc>
          <w:tcPr>
            <w:tcW w:w="0" w:type="auto"/>
            <w:vAlign w:val="center"/>
          </w:tcPr>
          <w:p w14:paraId="3DC55A5E" w14:textId="14AF095D" w:rsidR="00EA5457" w:rsidRPr="00EA5457" w:rsidRDefault="00EA5457" w:rsidP="00EA5457">
            <w:pPr>
              <w:jc w:val="right"/>
              <w:rPr>
                <w:rFonts w:ascii="Calibri" w:hAnsi="Calibri" w:cs="Calibri"/>
              </w:rPr>
            </w:pPr>
            <w:r w:rsidRPr="00EA5457">
              <w:rPr>
                <w:rFonts w:ascii="Calibri" w:hAnsi="Calibri" w:cs="Calibri"/>
                <w:color w:val="000000"/>
              </w:rPr>
              <w:t> </w:t>
            </w:r>
          </w:p>
        </w:tc>
        <w:tc>
          <w:tcPr>
            <w:tcW w:w="0" w:type="auto"/>
            <w:vAlign w:val="center"/>
          </w:tcPr>
          <w:p w14:paraId="2F54CBC5" w14:textId="161D431C" w:rsidR="00EA5457" w:rsidRPr="00EA5457" w:rsidRDefault="00EA5457" w:rsidP="00EA5457">
            <w:pPr>
              <w:jc w:val="right"/>
              <w:rPr>
                <w:rFonts w:ascii="Calibri" w:hAnsi="Calibri" w:cs="Calibri"/>
              </w:rPr>
            </w:pPr>
            <w:r w:rsidRPr="00EA5457">
              <w:rPr>
                <w:rFonts w:ascii="Calibri" w:hAnsi="Calibri" w:cs="Calibri"/>
                <w:color w:val="000000"/>
              </w:rPr>
              <w:t>3.2</w:t>
            </w:r>
          </w:p>
        </w:tc>
        <w:tc>
          <w:tcPr>
            <w:tcW w:w="933" w:type="dxa"/>
            <w:vAlign w:val="center"/>
          </w:tcPr>
          <w:p w14:paraId="7086845C" w14:textId="68134E53" w:rsidR="00EA5457" w:rsidRPr="00EA5457" w:rsidRDefault="00EA5457" w:rsidP="00EA5457">
            <w:pPr>
              <w:jc w:val="right"/>
              <w:rPr>
                <w:rFonts w:ascii="Calibri" w:hAnsi="Calibri" w:cs="Calibri"/>
              </w:rPr>
            </w:pPr>
            <w:r w:rsidRPr="00EA5457">
              <w:rPr>
                <w:rFonts w:ascii="Calibri" w:hAnsi="Calibri" w:cs="Calibri"/>
                <w:color w:val="000000"/>
              </w:rPr>
              <w:t>8.6</w:t>
            </w:r>
          </w:p>
        </w:tc>
        <w:tc>
          <w:tcPr>
            <w:tcW w:w="0" w:type="auto"/>
            <w:vAlign w:val="center"/>
          </w:tcPr>
          <w:p w14:paraId="142D257C" w14:textId="63AAE33F" w:rsidR="00EA5457" w:rsidRPr="00EA5457" w:rsidRDefault="00EA5457" w:rsidP="00EA5457">
            <w:pPr>
              <w:jc w:val="right"/>
              <w:rPr>
                <w:rFonts w:ascii="Calibri" w:hAnsi="Calibri" w:cs="Calibri"/>
              </w:rPr>
            </w:pPr>
            <w:r w:rsidRPr="00EA5457">
              <w:rPr>
                <w:rFonts w:ascii="Calibri" w:hAnsi="Calibri" w:cs="Calibri"/>
                <w:color w:val="000000"/>
              </w:rPr>
              <w:t>5.6</w:t>
            </w:r>
          </w:p>
        </w:tc>
      </w:tr>
      <w:tr w:rsidR="00EA5457" w14:paraId="0FFC659B" w14:textId="77777777" w:rsidTr="0000314C">
        <w:tc>
          <w:tcPr>
            <w:tcW w:w="2972" w:type="dxa"/>
          </w:tcPr>
          <w:p w14:paraId="24280E9E" w14:textId="77777777" w:rsidR="00EA5457" w:rsidRDefault="00EA5457" w:rsidP="00EA5457">
            <w:pPr>
              <w:rPr>
                <w:b/>
                <w:bCs/>
              </w:rPr>
            </w:pPr>
            <w:r w:rsidRPr="00EA5457">
              <w:rPr>
                <w:b/>
                <w:bCs/>
              </w:rPr>
              <w:t>V</w:t>
            </w:r>
            <w:r>
              <w:rPr>
                <w:b/>
                <w:bCs/>
              </w:rPr>
              <w:t>igastatud</w:t>
            </w:r>
            <w:r w:rsidRPr="00EA5457">
              <w:rPr>
                <w:b/>
                <w:bCs/>
              </w:rPr>
              <w:t>/</w:t>
            </w:r>
          </w:p>
          <w:p w14:paraId="27DA6582" w14:textId="459FF287" w:rsidR="00EA5457" w:rsidRPr="00EA5457" w:rsidRDefault="00EA5457" w:rsidP="00EA5457">
            <w:pPr>
              <w:rPr>
                <w:b/>
                <w:bCs/>
              </w:rPr>
            </w:pPr>
            <w:r w:rsidRPr="00EA5457">
              <w:rPr>
                <w:b/>
                <w:bCs/>
              </w:rPr>
              <w:t>miljardi km kohta</w:t>
            </w:r>
          </w:p>
        </w:tc>
        <w:tc>
          <w:tcPr>
            <w:tcW w:w="822" w:type="dxa"/>
            <w:vAlign w:val="center"/>
          </w:tcPr>
          <w:p w14:paraId="0074EDF1" w14:textId="0B67F292" w:rsidR="00EA5457" w:rsidRPr="00EA5457" w:rsidRDefault="00EA5457" w:rsidP="00EA5457">
            <w:pPr>
              <w:jc w:val="right"/>
              <w:rPr>
                <w:rFonts w:ascii="Calibri" w:hAnsi="Calibri" w:cs="Calibri"/>
              </w:rPr>
            </w:pPr>
            <w:r w:rsidRPr="00EA5457">
              <w:rPr>
                <w:rFonts w:ascii="Calibri" w:hAnsi="Calibri" w:cs="Calibri"/>
                <w:color w:val="000000"/>
              </w:rPr>
              <w:t>121</w:t>
            </w:r>
          </w:p>
        </w:tc>
        <w:tc>
          <w:tcPr>
            <w:tcW w:w="829" w:type="dxa"/>
            <w:vAlign w:val="center"/>
          </w:tcPr>
          <w:p w14:paraId="20D8F57E" w14:textId="58EF5FA0" w:rsidR="00EA5457" w:rsidRPr="00EA5457" w:rsidRDefault="00EA5457" w:rsidP="00EA5457">
            <w:pPr>
              <w:jc w:val="right"/>
              <w:rPr>
                <w:rFonts w:ascii="Calibri" w:hAnsi="Calibri" w:cs="Calibri"/>
              </w:rPr>
            </w:pPr>
            <w:r w:rsidRPr="00EA5457">
              <w:rPr>
                <w:rFonts w:ascii="Calibri" w:hAnsi="Calibri" w:cs="Calibri"/>
                <w:color w:val="000000"/>
              </w:rPr>
              <w:t>136</w:t>
            </w:r>
          </w:p>
        </w:tc>
        <w:tc>
          <w:tcPr>
            <w:tcW w:w="0" w:type="auto"/>
            <w:vAlign w:val="center"/>
          </w:tcPr>
          <w:p w14:paraId="3E4EAC6E" w14:textId="5CE7D42D" w:rsidR="00EA5457" w:rsidRPr="00EA5457" w:rsidRDefault="00EA5457" w:rsidP="00EA5457">
            <w:pPr>
              <w:jc w:val="right"/>
              <w:rPr>
                <w:rFonts w:ascii="Calibri" w:hAnsi="Calibri" w:cs="Calibri"/>
              </w:rPr>
            </w:pPr>
            <w:r w:rsidRPr="00EA5457">
              <w:rPr>
                <w:rFonts w:ascii="Calibri" w:hAnsi="Calibri" w:cs="Calibri"/>
                <w:color w:val="000000"/>
              </w:rPr>
              <w:t>209</w:t>
            </w:r>
          </w:p>
        </w:tc>
        <w:tc>
          <w:tcPr>
            <w:tcW w:w="0" w:type="auto"/>
            <w:vAlign w:val="center"/>
          </w:tcPr>
          <w:p w14:paraId="6B39CC24" w14:textId="44C3B477" w:rsidR="00EA5457" w:rsidRPr="00EA5457" w:rsidRDefault="00EA5457" w:rsidP="00EA5457">
            <w:pPr>
              <w:jc w:val="right"/>
              <w:rPr>
                <w:rFonts w:ascii="Calibri" w:hAnsi="Calibri" w:cs="Calibri"/>
              </w:rPr>
            </w:pPr>
            <w:r w:rsidRPr="00EA5457">
              <w:rPr>
                <w:rFonts w:ascii="Calibri" w:hAnsi="Calibri" w:cs="Calibri"/>
                <w:color w:val="000000"/>
              </w:rPr>
              <w:t> </w:t>
            </w:r>
          </w:p>
        </w:tc>
        <w:tc>
          <w:tcPr>
            <w:tcW w:w="0" w:type="auto"/>
            <w:vAlign w:val="center"/>
          </w:tcPr>
          <w:p w14:paraId="235970E0" w14:textId="46A7A323" w:rsidR="00EA5457" w:rsidRPr="00EA5457" w:rsidRDefault="00EA5457" w:rsidP="00EA5457">
            <w:pPr>
              <w:jc w:val="right"/>
              <w:rPr>
                <w:rFonts w:ascii="Calibri" w:hAnsi="Calibri" w:cs="Calibri"/>
              </w:rPr>
            </w:pPr>
            <w:r w:rsidRPr="00EA5457">
              <w:rPr>
                <w:rFonts w:ascii="Calibri" w:hAnsi="Calibri" w:cs="Calibri"/>
                <w:color w:val="000000"/>
              </w:rPr>
              <w:t>288</w:t>
            </w:r>
          </w:p>
        </w:tc>
        <w:tc>
          <w:tcPr>
            <w:tcW w:w="933" w:type="dxa"/>
            <w:vAlign w:val="center"/>
          </w:tcPr>
          <w:p w14:paraId="394BF527" w14:textId="796EB570" w:rsidR="00EA5457" w:rsidRPr="00EA5457" w:rsidRDefault="00EA5457" w:rsidP="00EA5457">
            <w:pPr>
              <w:jc w:val="right"/>
              <w:rPr>
                <w:rFonts w:ascii="Calibri" w:hAnsi="Calibri" w:cs="Calibri"/>
              </w:rPr>
            </w:pPr>
            <w:r w:rsidRPr="00EA5457">
              <w:rPr>
                <w:rFonts w:ascii="Calibri" w:hAnsi="Calibri" w:cs="Calibri"/>
                <w:color w:val="000000"/>
              </w:rPr>
              <w:t>462</w:t>
            </w:r>
          </w:p>
        </w:tc>
        <w:tc>
          <w:tcPr>
            <w:tcW w:w="0" w:type="auto"/>
            <w:vAlign w:val="center"/>
          </w:tcPr>
          <w:p w14:paraId="3208A05A" w14:textId="7D077B20" w:rsidR="00EA5457" w:rsidRPr="00EA5457" w:rsidRDefault="00EA5457" w:rsidP="00EA5457">
            <w:pPr>
              <w:jc w:val="right"/>
              <w:rPr>
                <w:rFonts w:ascii="Calibri" w:hAnsi="Calibri" w:cs="Calibri"/>
              </w:rPr>
            </w:pPr>
            <w:r w:rsidRPr="00EA5457">
              <w:rPr>
                <w:rFonts w:ascii="Calibri" w:hAnsi="Calibri" w:cs="Calibri"/>
                <w:color w:val="000000"/>
              </w:rPr>
              <w:t>219</w:t>
            </w:r>
          </w:p>
        </w:tc>
      </w:tr>
      <w:tr w:rsidR="00CB633E" w14:paraId="39E3A6AB" w14:textId="77777777" w:rsidTr="0000314C">
        <w:tc>
          <w:tcPr>
            <w:tcW w:w="2972" w:type="dxa"/>
            <w:shd w:val="clear" w:color="auto" w:fill="D1D1D1" w:themeFill="background2" w:themeFillShade="E6"/>
          </w:tcPr>
          <w:p w14:paraId="3CA28EC7" w14:textId="77777777" w:rsidR="00CB633E" w:rsidRDefault="00CB633E" w:rsidP="00EA5457">
            <w:pPr>
              <w:rPr>
                <w:b/>
                <w:bCs/>
              </w:rPr>
            </w:pPr>
            <w:r>
              <w:rPr>
                <w:b/>
                <w:bCs/>
              </w:rPr>
              <w:t>Indeks/</w:t>
            </w:r>
          </w:p>
          <w:p w14:paraId="67171FCE" w14:textId="7C073C55" w:rsidR="00CB633E" w:rsidRPr="00EA5457" w:rsidRDefault="00CB633E" w:rsidP="00EA5457">
            <w:pPr>
              <w:rPr>
                <w:b/>
                <w:bCs/>
              </w:rPr>
            </w:pPr>
            <w:r>
              <w:rPr>
                <w:b/>
                <w:bCs/>
              </w:rPr>
              <w:t>miljardi km kohta</w:t>
            </w:r>
          </w:p>
        </w:tc>
        <w:tc>
          <w:tcPr>
            <w:tcW w:w="822" w:type="dxa"/>
            <w:shd w:val="clear" w:color="auto" w:fill="D1D1D1" w:themeFill="background2" w:themeFillShade="E6"/>
            <w:vAlign w:val="center"/>
          </w:tcPr>
          <w:p w14:paraId="7D2C13E0" w14:textId="61AF8A4F" w:rsidR="00CB633E" w:rsidRPr="00EA5457" w:rsidRDefault="00CB633E" w:rsidP="00EA5457">
            <w:pPr>
              <w:jc w:val="right"/>
              <w:rPr>
                <w:rFonts w:ascii="Calibri" w:hAnsi="Calibri" w:cs="Calibri"/>
                <w:color w:val="000000"/>
              </w:rPr>
            </w:pPr>
            <w:r>
              <w:rPr>
                <w:rFonts w:ascii="Calibri" w:hAnsi="Calibri" w:cs="Calibri"/>
                <w:color w:val="000000"/>
              </w:rPr>
              <w:t>182</w:t>
            </w:r>
          </w:p>
        </w:tc>
        <w:tc>
          <w:tcPr>
            <w:tcW w:w="829" w:type="dxa"/>
            <w:shd w:val="clear" w:color="auto" w:fill="D1D1D1" w:themeFill="background2" w:themeFillShade="E6"/>
            <w:vAlign w:val="center"/>
          </w:tcPr>
          <w:p w14:paraId="1F0363C0" w14:textId="6D8BC9F0" w:rsidR="00CB633E" w:rsidRPr="00EA5457" w:rsidRDefault="00CB633E" w:rsidP="00EA5457">
            <w:pPr>
              <w:jc w:val="right"/>
              <w:rPr>
                <w:rFonts w:ascii="Calibri" w:hAnsi="Calibri" w:cs="Calibri"/>
                <w:color w:val="000000"/>
              </w:rPr>
            </w:pPr>
            <w:r>
              <w:rPr>
                <w:rFonts w:ascii="Calibri" w:hAnsi="Calibri" w:cs="Calibri"/>
                <w:color w:val="000000"/>
              </w:rPr>
              <w:t>202</w:t>
            </w:r>
          </w:p>
        </w:tc>
        <w:tc>
          <w:tcPr>
            <w:tcW w:w="0" w:type="auto"/>
            <w:shd w:val="clear" w:color="auto" w:fill="D1D1D1" w:themeFill="background2" w:themeFillShade="E6"/>
            <w:vAlign w:val="center"/>
          </w:tcPr>
          <w:p w14:paraId="60167B77" w14:textId="692735BA" w:rsidR="00CB633E" w:rsidRPr="00EA5457" w:rsidRDefault="00CB633E" w:rsidP="00EA5457">
            <w:pPr>
              <w:jc w:val="right"/>
              <w:rPr>
                <w:rFonts w:ascii="Calibri" w:hAnsi="Calibri" w:cs="Calibri"/>
                <w:color w:val="000000"/>
              </w:rPr>
            </w:pPr>
            <w:r>
              <w:rPr>
                <w:rFonts w:ascii="Calibri" w:hAnsi="Calibri" w:cs="Calibri"/>
                <w:color w:val="000000"/>
              </w:rPr>
              <w:t>309</w:t>
            </w:r>
          </w:p>
        </w:tc>
        <w:tc>
          <w:tcPr>
            <w:tcW w:w="0" w:type="auto"/>
            <w:shd w:val="clear" w:color="auto" w:fill="D1D1D1" w:themeFill="background2" w:themeFillShade="E6"/>
            <w:vAlign w:val="center"/>
          </w:tcPr>
          <w:p w14:paraId="598B5F58" w14:textId="77777777" w:rsidR="00CB633E" w:rsidRPr="00EA5457" w:rsidRDefault="00CB633E" w:rsidP="00EA5457">
            <w:pPr>
              <w:jc w:val="right"/>
              <w:rPr>
                <w:rFonts w:ascii="Calibri" w:hAnsi="Calibri" w:cs="Calibri"/>
                <w:color w:val="000000"/>
              </w:rPr>
            </w:pPr>
          </w:p>
        </w:tc>
        <w:tc>
          <w:tcPr>
            <w:tcW w:w="0" w:type="auto"/>
            <w:shd w:val="clear" w:color="auto" w:fill="D1D1D1" w:themeFill="background2" w:themeFillShade="E6"/>
            <w:vAlign w:val="center"/>
          </w:tcPr>
          <w:p w14:paraId="52D58803" w14:textId="38858DA5" w:rsidR="00CB633E" w:rsidRPr="00EA5457" w:rsidRDefault="00CB633E" w:rsidP="00EA5457">
            <w:pPr>
              <w:jc w:val="right"/>
              <w:rPr>
                <w:rFonts w:ascii="Calibri" w:hAnsi="Calibri" w:cs="Calibri"/>
                <w:color w:val="000000"/>
              </w:rPr>
            </w:pPr>
            <w:r>
              <w:rPr>
                <w:rFonts w:ascii="Calibri" w:hAnsi="Calibri" w:cs="Calibri"/>
                <w:color w:val="000000"/>
              </w:rPr>
              <w:t>320</w:t>
            </w:r>
          </w:p>
        </w:tc>
        <w:tc>
          <w:tcPr>
            <w:tcW w:w="933" w:type="dxa"/>
            <w:shd w:val="clear" w:color="auto" w:fill="D1D1D1" w:themeFill="background2" w:themeFillShade="E6"/>
            <w:vAlign w:val="center"/>
          </w:tcPr>
          <w:p w14:paraId="64CFBB25" w14:textId="76141D7B" w:rsidR="00CB633E" w:rsidRPr="00EA5457" w:rsidRDefault="00CB633E" w:rsidP="00EA5457">
            <w:pPr>
              <w:jc w:val="right"/>
              <w:rPr>
                <w:rFonts w:ascii="Calibri" w:hAnsi="Calibri" w:cs="Calibri"/>
                <w:color w:val="000000"/>
              </w:rPr>
            </w:pPr>
            <w:r>
              <w:rPr>
                <w:rFonts w:ascii="Calibri" w:hAnsi="Calibri" w:cs="Calibri"/>
                <w:color w:val="000000"/>
              </w:rPr>
              <w:t>548</w:t>
            </w:r>
          </w:p>
        </w:tc>
        <w:tc>
          <w:tcPr>
            <w:tcW w:w="0" w:type="auto"/>
            <w:shd w:val="clear" w:color="auto" w:fill="D1D1D1" w:themeFill="background2" w:themeFillShade="E6"/>
            <w:vAlign w:val="center"/>
          </w:tcPr>
          <w:p w14:paraId="104B7567" w14:textId="1C85D546" w:rsidR="00CB633E" w:rsidRPr="00EA5457" w:rsidRDefault="00CB633E" w:rsidP="00EA5457">
            <w:pPr>
              <w:jc w:val="right"/>
              <w:rPr>
                <w:rFonts w:ascii="Calibri" w:hAnsi="Calibri" w:cs="Calibri"/>
                <w:color w:val="000000"/>
              </w:rPr>
            </w:pPr>
            <w:r>
              <w:rPr>
                <w:rFonts w:ascii="Calibri" w:hAnsi="Calibri" w:cs="Calibri"/>
                <w:color w:val="000000"/>
              </w:rPr>
              <w:t>275</w:t>
            </w:r>
          </w:p>
        </w:tc>
      </w:tr>
      <w:tr w:rsidR="00EA5457" w14:paraId="67CE9CF9" w14:textId="77777777" w:rsidTr="0000314C">
        <w:tc>
          <w:tcPr>
            <w:tcW w:w="2972" w:type="dxa"/>
          </w:tcPr>
          <w:p w14:paraId="6E7FB4DC" w14:textId="77777777" w:rsidR="00EA5457" w:rsidRDefault="00EA5457" w:rsidP="00EA5457">
            <w:pPr>
              <w:rPr>
                <w:b/>
                <w:bCs/>
              </w:rPr>
            </w:pPr>
            <w:r w:rsidRPr="00EA5457">
              <w:rPr>
                <w:b/>
                <w:bCs/>
              </w:rPr>
              <w:t>H</w:t>
            </w:r>
            <w:r>
              <w:rPr>
                <w:b/>
                <w:bCs/>
              </w:rPr>
              <w:t>ukkunut</w:t>
            </w:r>
            <w:r w:rsidRPr="00EA5457">
              <w:rPr>
                <w:b/>
                <w:bCs/>
              </w:rPr>
              <w:t>/</w:t>
            </w:r>
          </w:p>
          <w:p w14:paraId="338E85ED" w14:textId="28D19317" w:rsidR="00EA5457" w:rsidRPr="00EA5457" w:rsidRDefault="00EA5457" w:rsidP="00EA5457">
            <w:pPr>
              <w:rPr>
                <w:b/>
                <w:bCs/>
              </w:rPr>
            </w:pPr>
            <w:r w:rsidRPr="00EA5457">
              <w:rPr>
                <w:b/>
                <w:bCs/>
              </w:rPr>
              <w:t>1000 tee</w:t>
            </w:r>
            <w:r w:rsidR="003474D5">
              <w:rPr>
                <w:b/>
                <w:bCs/>
              </w:rPr>
              <w:t xml:space="preserve"> </w:t>
            </w:r>
            <w:r w:rsidRPr="00EA5457">
              <w:rPr>
                <w:b/>
                <w:bCs/>
              </w:rPr>
              <w:t>km</w:t>
            </w:r>
            <w:r w:rsidR="003474D5">
              <w:rPr>
                <w:b/>
                <w:bCs/>
              </w:rPr>
              <w:t xml:space="preserve"> kohta</w:t>
            </w:r>
          </w:p>
        </w:tc>
        <w:tc>
          <w:tcPr>
            <w:tcW w:w="822" w:type="dxa"/>
            <w:vAlign w:val="center"/>
          </w:tcPr>
          <w:p w14:paraId="7DB49F59" w14:textId="07A8290B" w:rsidR="00EA5457" w:rsidRPr="00EA5457" w:rsidRDefault="00EA5457" w:rsidP="00EA5457">
            <w:pPr>
              <w:jc w:val="right"/>
              <w:rPr>
                <w:rFonts w:ascii="Calibri" w:hAnsi="Calibri" w:cs="Calibri"/>
              </w:rPr>
            </w:pPr>
            <w:r w:rsidRPr="00EA5457">
              <w:rPr>
                <w:rFonts w:ascii="Calibri" w:hAnsi="Calibri" w:cs="Calibri"/>
                <w:color w:val="000000"/>
              </w:rPr>
              <w:t>13.1</w:t>
            </w:r>
          </w:p>
        </w:tc>
        <w:tc>
          <w:tcPr>
            <w:tcW w:w="829" w:type="dxa"/>
            <w:vAlign w:val="center"/>
          </w:tcPr>
          <w:p w14:paraId="155219C3" w14:textId="516B1308" w:rsidR="00EA5457" w:rsidRPr="00EA5457" w:rsidRDefault="00EA5457" w:rsidP="00EA5457">
            <w:pPr>
              <w:jc w:val="right"/>
              <w:rPr>
                <w:rFonts w:ascii="Calibri" w:hAnsi="Calibri" w:cs="Calibri"/>
              </w:rPr>
            </w:pPr>
            <w:r w:rsidRPr="00EA5457">
              <w:rPr>
                <w:rFonts w:ascii="Calibri" w:hAnsi="Calibri" w:cs="Calibri"/>
                <w:color w:val="000000"/>
              </w:rPr>
              <w:t>4.2</w:t>
            </w:r>
          </w:p>
        </w:tc>
        <w:tc>
          <w:tcPr>
            <w:tcW w:w="0" w:type="auto"/>
            <w:vAlign w:val="center"/>
          </w:tcPr>
          <w:p w14:paraId="09B30E35" w14:textId="2F12F64E" w:rsidR="00EA5457" w:rsidRPr="00EA5457" w:rsidRDefault="00EA5457" w:rsidP="00EA5457">
            <w:pPr>
              <w:jc w:val="right"/>
              <w:rPr>
                <w:rFonts w:ascii="Calibri" w:hAnsi="Calibri" w:cs="Calibri"/>
              </w:rPr>
            </w:pPr>
            <w:r w:rsidRPr="00EA5457">
              <w:rPr>
                <w:rFonts w:ascii="Calibri" w:hAnsi="Calibri" w:cs="Calibri"/>
                <w:color w:val="000000"/>
              </w:rPr>
              <w:t>1.3</w:t>
            </w:r>
          </w:p>
        </w:tc>
        <w:tc>
          <w:tcPr>
            <w:tcW w:w="0" w:type="auto"/>
            <w:vAlign w:val="center"/>
          </w:tcPr>
          <w:p w14:paraId="3534BBDB" w14:textId="057FE64E" w:rsidR="00EA5457" w:rsidRPr="00EA5457" w:rsidRDefault="00EA5457" w:rsidP="00EA5457">
            <w:pPr>
              <w:jc w:val="right"/>
              <w:rPr>
                <w:rFonts w:ascii="Calibri" w:hAnsi="Calibri" w:cs="Calibri"/>
              </w:rPr>
            </w:pPr>
            <w:r w:rsidRPr="00EA5457">
              <w:rPr>
                <w:rFonts w:ascii="Calibri" w:hAnsi="Calibri" w:cs="Calibri"/>
                <w:color w:val="000000"/>
              </w:rPr>
              <w:t> </w:t>
            </w:r>
          </w:p>
        </w:tc>
        <w:tc>
          <w:tcPr>
            <w:tcW w:w="0" w:type="auto"/>
            <w:vAlign w:val="center"/>
          </w:tcPr>
          <w:p w14:paraId="431787AA" w14:textId="6B5DB9F0" w:rsidR="00EA5457" w:rsidRPr="00EA5457" w:rsidRDefault="00EA5457" w:rsidP="00EA5457">
            <w:pPr>
              <w:jc w:val="right"/>
              <w:rPr>
                <w:rFonts w:ascii="Calibri" w:hAnsi="Calibri" w:cs="Calibri"/>
              </w:rPr>
            </w:pPr>
            <w:r w:rsidRPr="00EA5457">
              <w:rPr>
                <w:rFonts w:ascii="Calibri" w:hAnsi="Calibri" w:cs="Calibri"/>
                <w:color w:val="000000"/>
              </w:rPr>
              <w:t>3.0</w:t>
            </w:r>
          </w:p>
        </w:tc>
        <w:tc>
          <w:tcPr>
            <w:tcW w:w="933" w:type="dxa"/>
            <w:vAlign w:val="center"/>
          </w:tcPr>
          <w:p w14:paraId="78BC6D0E" w14:textId="4295EE49" w:rsidR="00EA5457" w:rsidRPr="00EA5457" w:rsidRDefault="00EA5457" w:rsidP="00EA5457">
            <w:pPr>
              <w:jc w:val="right"/>
              <w:rPr>
                <w:rFonts w:ascii="Calibri" w:hAnsi="Calibri" w:cs="Calibri"/>
              </w:rPr>
            </w:pPr>
            <w:r w:rsidRPr="00EA5457">
              <w:rPr>
                <w:rFonts w:ascii="Calibri" w:hAnsi="Calibri" w:cs="Calibri"/>
                <w:color w:val="000000"/>
              </w:rPr>
              <w:t>0.3</w:t>
            </w:r>
          </w:p>
        </w:tc>
        <w:tc>
          <w:tcPr>
            <w:tcW w:w="0" w:type="auto"/>
            <w:vAlign w:val="center"/>
          </w:tcPr>
          <w:p w14:paraId="6FB0AC4B" w14:textId="0695EAAC" w:rsidR="00EA5457" w:rsidRPr="00EA5457" w:rsidRDefault="00EA5457" w:rsidP="00EA5457">
            <w:pPr>
              <w:jc w:val="right"/>
              <w:rPr>
                <w:rFonts w:ascii="Calibri" w:hAnsi="Calibri" w:cs="Calibri"/>
              </w:rPr>
            </w:pPr>
            <w:r w:rsidRPr="00EA5457">
              <w:rPr>
                <w:rFonts w:ascii="Calibri" w:hAnsi="Calibri" w:cs="Calibri"/>
                <w:color w:val="000000"/>
              </w:rPr>
              <w:t>1.8</w:t>
            </w:r>
          </w:p>
        </w:tc>
      </w:tr>
      <w:tr w:rsidR="00EA5457" w14:paraId="2121D017" w14:textId="77777777" w:rsidTr="0000314C">
        <w:tc>
          <w:tcPr>
            <w:tcW w:w="2972" w:type="dxa"/>
          </w:tcPr>
          <w:p w14:paraId="4481F06C" w14:textId="77777777" w:rsidR="00EA5457" w:rsidRDefault="00EA5457" w:rsidP="00EA5457">
            <w:pPr>
              <w:rPr>
                <w:b/>
                <w:bCs/>
              </w:rPr>
            </w:pPr>
            <w:r w:rsidRPr="00EA5457">
              <w:rPr>
                <w:b/>
                <w:bCs/>
              </w:rPr>
              <w:t>V</w:t>
            </w:r>
            <w:r>
              <w:rPr>
                <w:b/>
                <w:bCs/>
              </w:rPr>
              <w:t>igastatut</w:t>
            </w:r>
            <w:r w:rsidRPr="00EA5457">
              <w:rPr>
                <w:b/>
                <w:bCs/>
              </w:rPr>
              <w:t>/</w:t>
            </w:r>
          </w:p>
          <w:p w14:paraId="08464665" w14:textId="277CE6A4" w:rsidR="00EA5457" w:rsidRPr="00EA5457" w:rsidRDefault="00EA5457" w:rsidP="00EA5457">
            <w:pPr>
              <w:rPr>
                <w:b/>
                <w:bCs/>
              </w:rPr>
            </w:pPr>
            <w:r w:rsidRPr="00EA5457">
              <w:rPr>
                <w:b/>
                <w:bCs/>
              </w:rPr>
              <w:t>1000 tee</w:t>
            </w:r>
            <w:r w:rsidR="003474D5">
              <w:rPr>
                <w:b/>
                <w:bCs/>
              </w:rPr>
              <w:t xml:space="preserve"> </w:t>
            </w:r>
            <w:r w:rsidRPr="00EA5457">
              <w:rPr>
                <w:b/>
                <w:bCs/>
              </w:rPr>
              <w:t>km</w:t>
            </w:r>
            <w:r w:rsidR="003474D5">
              <w:rPr>
                <w:b/>
                <w:bCs/>
              </w:rPr>
              <w:t xml:space="preserve"> kohta</w:t>
            </w:r>
          </w:p>
        </w:tc>
        <w:tc>
          <w:tcPr>
            <w:tcW w:w="822" w:type="dxa"/>
            <w:vAlign w:val="center"/>
          </w:tcPr>
          <w:p w14:paraId="0B0747EB" w14:textId="1F952727" w:rsidR="00EA5457" w:rsidRPr="00EA5457" w:rsidRDefault="00EA5457" w:rsidP="00EA5457">
            <w:pPr>
              <w:jc w:val="right"/>
              <w:rPr>
                <w:rFonts w:ascii="Calibri" w:hAnsi="Calibri" w:cs="Calibri"/>
              </w:rPr>
            </w:pPr>
            <w:r w:rsidRPr="00EA5457">
              <w:rPr>
                <w:rFonts w:ascii="Calibri" w:hAnsi="Calibri" w:cs="Calibri"/>
                <w:color w:val="000000"/>
              </w:rPr>
              <w:t>259</w:t>
            </w:r>
          </w:p>
        </w:tc>
        <w:tc>
          <w:tcPr>
            <w:tcW w:w="829" w:type="dxa"/>
            <w:vAlign w:val="center"/>
          </w:tcPr>
          <w:p w14:paraId="315EB0D4" w14:textId="34454B4C" w:rsidR="00EA5457" w:rsidRPr="00EA5457" w:rsidRDefault="00EA5457" w:rsidP="00EA5457">
            <w:pPr>
              <w:jc w:val="right"/>
              <w:rPr>
                <w:rFonts w:ascii="Calibri" w:hAnsi="Calibri" w:cs="Calibri"/>
              </w:rPr>
            </w:pPr>
            <w:r w:rsidRPr="00EA5457">
              <w:rPr>
                <w:rFonts w:ascii="Calibri" w:hAnsi="Calibri" w:cs="Calibri"/>
                <w:color w:val="000000"/>
              </w:rPr>
              <w:t>86</w:t>
            </w:r>
          </w:p>
        </w:tc>
        <w:tc>
          <w:tcPr>
            <w:tcW w:w="0" w:type="auto"/>
            <w:vAlign w:val="center"/>
          </w:tcPr>
          <w:p w14:paraId="18B2802C" w14:textId="3037A230" w:rsidR="00EA5457" w:rsidRPr="00EA5457" w:rsidRDefault="00EA5457" w:rsidP="00EA5457">
            <w:pPr>
              <w:jc w:val="right"/>
              <w:rPr>
                <w:rFonts w:ascii="Calibri" w:hAnsi="Calibri" w:cs="Calibri"/>
              </w:rPr>
            </w:pPr>
            <w:r w:rsidRPr="00EA5457">
              <w:rPr>
                <w:rFonts w:ascii="Calibri" w:hAnsi="Calibri" w:cs="Calibri"/>
                <w:color w:val="000000"/>
              </w:rPr>
              <w:t>27</w:t>
            </w:r>
          </w:p>
        </w:tc>
        <w:tc>
          <w:tcPr>
            <w:tcW w:w="0" w:type="auto"/>
            <w:vAlign w:val="center"/>
          </w:tcPr>
          <w:p w14:paraId="12EBD295" w14:textId="6155DE9B" w:rsidR="00EA5457" w:rsidRPr="00EA5457" w:rsidRDefault="00EA5457" w:rsidP="00EA5457">
            <w:pPr>
              <w:jc w:val="right"/>
              <w:rPr>
                <w:rFonts w:ascii="Calibri" w:hAnsi="Calibri" w:cs="Calibri"/>
              </w:rPr>
            </w:pPr>
            <w:r w:rsidRPr="00EA5457">
              <w:rPr>
                <w:rFonts w:ascii="Calibri" w:hAnsi="Calibri" w:cs="Calibri"/>
                <w:color w:val="000000"/>
              </w:rPr>
              <w:t> </w:t>
            </w:r>
          </w:p>
        </w:tc>
        <w:tc>
          <w:tcPr>
            <w:tcW w:w="0" w:type="auto"/>
            <w:vAlign w:val="center"/>
          </w:tcPr>
          <w:p w14:paraId="7BFA5340" w14:textId="49092C5A" w:rsidR="00EA5457" w:rsidRPr="00EA5457" w:rsidRDefault="00EA5457" w:rsidP="00EA5457">
            <w:pPr>
              <w:jc w:val="right"/>
              <w:rPr>
                <w:rFonts w:ascii="Calibri" w:hAnsi="Calibri" w:cs="Calibri"/>
              </w:rPr>
            </w:pPr>
            <w:r w:rsidRPr="00EA5457">
              <w:rPr>
                <w:rFonts w:ascii="Calibri" w:hAnsi="Calibri" w:cs="Calibri"/>
                <w:color w:val="000000"/>
              </w:rPr>
              <w:t>270</w:t>
            </w:r>
          </w:p>
        </w:tc>
        <w:tc>
          <w:tcPr>
            <w:tcW w:w="933" w:type="dxa"/>
            <w:vAlign w:val="center"/>
          </w:tcPr>
          <w:p w14:paraId="4D58B623" w14:textId="4D292ED2" w:rsidR="00EA5457" w:rsidRPr="00EA5457" w:rsidRDefault="00EA5457" w:rsidP="00EA5457">
            <w:pPr>
              <w:jc w:val="right"/>
              <w:rPr>
                <w:rFonts w:ascii="Calibri" w:hAnsi="Calibri" w:cs="Calibri"/>
              </w:rPr>
            </w:pPr>
            <w:r w:rsidRPr="00EA5457">
              <w:rPr>
                <w:rFonts w:ascii="Calibri" w:hAnsi="Calibri" w:cs="Calibri"/>
                <w:color w:val="000000"/>
              </w:rPr>
              <w:t>15</w:t>
            </w:r>
          </w:p>
        </w:tc>
        <w:tc>
          <w:tcPr>
            <w:tcW w:w="0" w:type="auto"/>
            <w:vAlign w:val="center"/>
          </w:tcPr>
          <w:p w14:paraId="5F50282B" w14:textId="5F320E2C" w:rsidR="00EA5457" w:rsidRPr="00EA5457" w:rsidRDefault="00EA5457" w:rsidP="00EA5457">
            <w:pPr>
              <w:jc w:val="right"/>
              <w:rPr>
                <w:rFonts w:ascii="Calibri" w:hAnsi="Calibri" w:cs="Calibri"/>
              </w:rPr>
            </w:pPr>
            <w:r w:rsidRPr="00EA5457">
              <w:rPr>
                <w:rFonts w:ascii="Calibri" w:hAnsi="Calibri" w:cs="Calibri"/>
                <w:color w:val="000000"/>
              </w:rPr>
              <w:t>68</w:t>
            </w:r>
          </w:p>
        </w:tc>
      </w:tr>
      <w:tr w:rsidR="00CB633E" w14:paraId="0401FE6F" w14:textId="77777777" w:rsidTr="0000314C">
        <w:tc>
          <w:tcPr>
            <w:tcW w:w="2972" w:type="dxa"/>
            <w:shd w:val="clear" w:color="auto" w:fill="D1D1D1" w:themeFill="background2" w:themeFillShade="E6"/>
          </w:tcPr>
          <w:p w14:paraId="43BB0AF2" w14:textId="77777777" w:rsidR="00CB633E" w:rsidRDefault="00CB633E" w:rsidP="00EA5457">
            <w:pPr>
              <w:rPr>
                <w:b/>
                <w:bCs/>
              </w:rPr>
            </w:pPr>
            <w:r>
              <w:rPr>
                <w:b/>
                <w:bCs/>
              </w:rPr>
              <w:t>Indeks/</w:t>
            </w:r>
          </w:p>
          <w:p w14:paraId="7C20A0E5" w14:textId="6F845B9A" w:rsidR="00CB633E" w:rsidRPr="00EA5457" w:rsidRDefault="00CB633E" w:rsidP="00EA5457">
            <w:pPr>
              <w:rPr>
                <w:b/>
                <w:bCs/>
              </w:rPr>
            </w:pPr>
            <w:r>
              <w:rPr>
                <w:b/>
                <w:bCs/>
              </w:rPr>
              <w:t>100 tee km kohta</w:t>
            </w:r>
          </w:p>
        </w:tc>
        <w:tc>
          <w:tcPr>
            <w:tcW w:w="822" w:type="dxa"/>
            <w:shd w:val="clear" w:color="auto" w:fill="D1D1D1" w:themeFill="background2" w:themeFillShade="E6"/>
            <w:vAlign w:val="center"/>
          </w:tcPr>
          <w:p w14:paraId="0AC9737F" w14:textId="1095C5F7" w:rsidR="00CB633E" w:rsidRPr="00EA5457" w:rsidRDefault="00CB633E" w:rsidP="00EA5457">
            <w:pPr>
              <w:jc w:val="right"/>
              <w:rPr>
                <w:rFonts w:ascii="Calibri" w:hAnsi="Calibri" w:cs="Calibri"/>
                <w:color w:val="000000"/>
              </w:rPr>
            </w:pPr>
            <w:r>
              <w:rPr>
                <w:rFonts w:ascii="Calibri" w:hAnsi="Calibri" w:cs="Calibri"/>
                <w:color w:val="000000"/>
              </w:rPr>
              <w:t>390</w:t>
            </w:r>
          </w:p>
        </w:tc>
        <w:tc>
          <w:tcPr>
            <w:tcW w:w="829" w:type="dxa"/>
            <w:shd w:val="clear" w:color="auto" w:fill="D1D1D1" w:themeFill="background2" w:themeFillShade="E6"/>
            <w:vAlign w:val="center"/>
          </w:tcPr>
          <w:p w14:paraId="6D607DD1" w14:textId="4F5A4135" w:rsidR="00CB633E" w:rsidRPr="00EA5457" w:rsidRDefault="00CB633E" w:rsidP="00EA5457">
            <w:pPr>
              <w:jc w:val="right"/>
              <w:rPr>
                <w:rFonts w:ascii="Calibri" w:hAnsi="Calibri" w:cs="Calibri"/>
                <w:color w:val="000000"/>
              </w:rPr>
            </w:pPr>
            <w:r>
              <w:rPr>
                <w:rFonts w:ascii="Calibri" w:hAnsi="Calibri" w:cs="Calibri"/>
                <w:color w:val="000000"/>
              </w:rPr>
              <w:t>128</w:t>
            </w:r>
          </w:p>
        </w:tc>
        <w:tc>
          <w:tcPr>
            <w:tcW w:w="0" w:type="auto"/>
            <w:shd w:val="clear" w:color="auto" w:fill="D1D1D1" w:themeFill="background2" w:themeFillShade="E6"/>
            <w:vAlign w:val="center"/>
          </w:tcPr>
          <w:p w14:paraId="29C79AFC" w14:textId="7A268985" w:rsidR="00CB633E" w:rsidRPr="00EA5457" w:rsidRDefault="00CB633E" w:rsidP="00EA5457">
            <w:pPr>
              <w:jc w:val="right"/>
              <w:rPr>
                <w:rFonts w:ascii="Calibri" w:hAnsi="Calibri" w:cs="Calibri"/>
                <w:color w:val="000000"/>
              </w:rPr>
            </w:pPr>
            <w:r>
              <w:rPr>
                <w:rFonts w:ascii="Calibri" w:hAnsi="Calibri" w:cs="Calibri"/>
                <w:color w:val="000000"/>
              </w:rPr>
              <w:t>40</w:t>
            </w:r>
          </w:p>
        </w:tc>
        <w:tc>
          <w:tcPr>
            <w:tcW w:w="0" w:type="auto"/>
            <w:shd w:val="clear" w:color="auto" w:fill="D1D1D1" w:themeFill="background2" w:themeFillShade="E6"/>
            <w:vAlign w:val="center"/>
          </w:tcPr>
          <w:p w14:paraId="69918A4A" w14:textId="77777777" w:rsidR="00CB633E" w:rsidRPr="00EA5457" w:rsidRDefault="00CB633E" w:rsidP="00EA5457">
            <w:pPr>
              <w:jc w:val="right"/>
              <w:rPr>
                <w:rFonts w:ascii="Calibri" w:hAnsi="Calibri" w:cs="Calibri"/>
                <w:color w:val="000000"/>
              </w:rPr>
            </w:pPr>
          </w:p>
        </w:tc>
        <w:tc>
          <w:tcPr>
            <w:tcW w:w="0" w:type="auto"/>
            <w:shd w:val="clear" w:color="auto" w:fill="D1D1D1" w:themeFill="background2" w:themeFillShade="E6"/>
            <w:vAlign w:val="center"/>
          </w:tcPr>
          <w:p w14:paraId="0F73236F" w14:textId="63DBAAC3" w:rsidR="00CB633E" w:rsidRPr="00EA5457" w:rsidRDefault="00CB633E" w:rsidP="00EA5457">
            <w:pPr>
              <w:jc w:val="right"/>
              <w:rPr>
                <w:rFonts w:ascii="Calibri" w:hAnsi="Calibri" w:cs="Calibri"/>
                <w:color w:val="000000"/>
              </w:rPr>
            </w:pPr>
            <w:r>
              <w:rPr>
                <w:rFonts w:ascii="Calibri" w:hAnsi="Calibri" w:cs="Calibri"/>
                <w:color w:val="000000"/>
              </w:rPr>
              <w:t>300</w:t>
            </w:r>
          </w:p>
        </w:tc>
        <w:tc>
          <w:tcPr>
            <w:tcW w:w="933" w:type="dxa"/>
            <w:shd w:val="clear" w:color="auto" w:fill="D1D1D1" w:themeFill="background2" w:themeFillShade="E6"/>
            <w:vAlign w:val="center"/>
          </w:tcPr>
          <w:p w14:paraId="4F23180A" w14:textId="26B6339A" w:rsidR="00CB633E" w:rsidRPr="00EA5457" w:rsidRDefault="00CB633E" w:rsidP="00EA5457">
            <w:pPr>
              <w:jc w:val="right"/>
              <w:rPr>
                <w:rFonts w:ascii="Calibri" w:hAnsi="Calibri" w:cs="Calibri"/>
                <w:color w:val="000000"/>
              </w:rPr>
            </w:pPr>
            <w:r>
              <w:rPr>
                <w:rFonts w:ascii="Calibri" w:hAnsi="Calibri" w:cs="Calibri"/>
                <w:color w:val="000000"/>
              </w:rPr>
              <w:t>18</w:t>
            </w:r>
          </w:p>
        </w:tc>
        <w:tc>
          <w:tcPr>
            <w:tcW w:w="0" w:type="auto"/>
            <w:shd w:val="clear" w:color="auto" w:fill="D1D1D1" w:themeFill="background2" w:themeFillShade="E6"/>
            <w:vAlign w:val="center"/>
          </w:tcPr>
          <w:p w14:paraId="105E12C0" w14:textId="76C818B1" w:rsidR="00CB633E" w:rsidRPr="00EA5457" w:rsidRDefault="00CB633E" w:rsidP="00EA5457">
            <w:pPr>
              <w:jc w:val="right"/>
              <w:rPr>
                <w:rFonts w:ascii="Calibri" w:hAnsi="Calibri" w:cs="Calibri"/>
                <w:color w:val="000000"/>
              </w:rPr>
            </w:pPr>
            <w:r>
              <w:rPr>
                <w:rFonts w:ascii="Calibri" w:hAnsi="Calibri" w:cs="Calibri"/>
                <w:color w:val="000000"/>
              </w:rPr>
              <w:t>86</w:t>
            </w:r>
          </w:p>
        </w:tc>
      </w:tr>
    </w:tbl>
    <w:p w14:paraId="3281B16E" w14:textId="77777777" w:rsidR="00EA5457" w:rsidRDefault="00EA5457" w:rsidP="00CE7397">
      <w:pPr>
        <w:jc w:val="both"/>
      </w:pPr>
    </w:p>
    <w:p w14:paraId="411991D0" w14:textId="0A0E4BE4" w:rsidR="00B708BA" w:rsidRDefault="00DB5AD2" w:rsidP="00CE7397">
      <w:pPr>
        <w:jc w:val="both"/>
      </w:pPr>
      <w:r>
        <w:t xml:space="preserve">Kui seda jaotust teha </w:t>
      </w:r>
      <w:r w:rsidR="00764E45">
        <w:t>erinevate tee ristlõigete kohta, saaksime veel drastilisema pildi, sest lä</w:t>
      </w:r>
      <w:r w:rsidR="002C17F9">
        <w:t>b</w:t>
      </w:r>
      <w:r w:rsidR="00764E45">
        <w:t xml:space="preserve">isõidu suhtes on </w:t>
      </w:r>
      <w:r w:rsidR="00A90D65">
        <w:t>näitajad seda mad</w:t>
      </w:r>
      <w:r w:rsidR="00764E45">
        <w:t>alamad, mida suurem on liiklussagedus. Kuna tee sõiduradade arv sõltub otseselt liiklussagedusest, siis saame siit ka kinnituse, et 2+1 ja 2+2 ristlõikega teed on ohutumad, kui harilikud keskpiirdeta 1+1 ristlõikega teed.</w:t>
      </w:r>
    </w:p>
    <w:p w14:paraId="7CA95744" w14:textId="77777777" w:rsidR="00421007" w:rsidRDefault="00421007" w:rsidP="00CE7397">
      <w:pPr>
        <w:jc w:val="both"/>
      </w:pPr>
    </w:p>
    <w:p w14:paraId="45630C58" w14:textId="07FFDB3A" w:rsidR="006759B4" w:rsidRDefault="006759B4" w:rsidP="00CE7397">
      <w:pPr>
        <w:pStyle w:val="Heading2"/>
        <w:jc w:val="both"/>
      </w:pPr>
      <w:r>
        <w:t>Juhtumite anatoomia</w:t>
      </w:r>
    </w:p>
    <w:p w14:paraId="05681951" w14:textId="033F1260" w:rsidR="006759B4" w:rsidRPr="00DB5AD2" w:rsidRDefault="006759B4" w:rsidP="00CE7397">
      <w:pPr>
        <w:jc w:val="both"/>
        <w:rPr>
          <w:b/>
          <w:bCs/>
        </w:rPr>
      </w:pPr>
      <w:r w:rsidRPr="00DB5AD2">
        <w:rPr>
          <w:b/>
          <w:bCs/>
        </w:rPr>
        <w:t xml:space="preserve">Inimene-sõiduk-tee on kolmainsus, mille </w:t>
      </w:r>
      <w:r w:rsidR="00B04D3C" w:rsidRPr="00DB5AD2">
        <w:rPr>
          <w:b/>
          <w:bCs/>
        </w:rPr>
        <w:t xml:space="preserve">kõik </w:t>
      </w:r>
      <w:r w:rsidRPr="00DB5AD2">
        <w:rPr>
          <w:b/>
          <w:bCs/>
        </w:rPr>
        <w:t>kolm nurka määravad</w:t>
      </w:r>
      <w:r w:rsidR="00B04D3C" w:rsidRPr="00DB5AD2">
        <w:rPr>
          <w:b/>
          <w:bCs/>
        </w:rPr>
        <w:t xml:space="preserve"> selle, et </w:t>
      </w:r>
      <w:r w:rsidR="009D129E" w:rsidRPr="00DB5AD2">
        <w:rPr>
          <w:b/>
          <w:bCs/>
        </w:rPr>
        <w:t xml:space="preserve">meie </w:t>
      </w:r>
      <w:r w:rsidR="00B04D3C" w:rsidRPr="00DB5AD2">
        <w:rPr>
          <w:b/>
          <w:bCs/>
        </w:rPr>
        <w:t>reis</w:t>
      </w:r>
      <w:r w:rsidR="009D129E" w:rsidRPr="00DB5AD2">
        <w:rPr>
          <w:b/>
          <w:bCs/>
        </w:rPr>
        <w:t>id</w:t>
      </w:r>
      <w:r w:rsidR="00B04D3C" w:rsidRPr="00DB5AD2">
        <w:rPr>
          <w:b/>
          <w:bCs/>
        </w:rPr>
        <w:t xml:space="preserve"> lõppeks õnnelikult.</w:t>
      </w:r>
    </w:p>
    <w:p w14:paraId="473617B1" w14:textId="430EBE88" w:rsidR="008A39F8" w:rsidRDefault="008A39F8" w:rsidP="00CB633E">
      <w:pPr>
        <w:pStyle w:val="Heading2"/>
        <w:numPr>
          <w:ilvl w:val="0"/>
          <w:numId w:val="3"/>
        </w:numPr>
        <w:ind w:left="426"/>
        <w:jc w:val="both"/>
      </w:pPr>
      <w:r>
        <w:lastRenderedPageBreak/>
        <w:t>Sõiduki juht</w:t>
      </w:r>
    </w:p>
    <w:p w14:paraId="3FF5B846" w14:textId="0B81B2BD" w:rsidR="006759B4" w:rsidRDefault="006759B4" w:rsidP="00CE7397">
      <w:pPr>
        <w:jc w:val="both"/>
      </w:pPr>
      <w:r>
        <w:t xml:space="preserve">Kõige nõrgemaks </w:t>
      </w:r>
      <w:r w:rsidR="00C87451">
        <w:t xml:space="preserve">lüliks </w:t>
      </w:r>
      <w:r>
        <w:t xml:space="preserve">osutub </w:t>
      </w:r>
      <w:r w:rsidR="00C87451">
        <w:t xml:space="preserve">sageli </w:t>
      </w:r>
      <w:r>
        <w:t xml:space="preserve">just esimene nurk – </w:t>
      </w:r>
      <w:commentRangeStart w:id="4"/>
      <w:r>
        <w:t>tihend rooli ja istme seljatoe vahel</w:t>
      </w:r>
      <w:commentRangeEnd w:id="4"/>
      <w:r w:rsidR="007F5350">
        <w:rPr>
          <w:rStyle w:val="CommentReference"/>
        </w:rPr>
        <w:commentReference w:id="4"/>
      </w:r>
      <w:r>
        <w:t>. Mootorsõiduki juhtimiseks on reeglina vajalik vastav koolitus ja dokument</w:t>
      </w:r>
      <w:r w:rsidR="001C35A1">
        <w:t>,</w:t>
      </w:r>
      <w:r>
        <w:t xml:space="preserve"> mis peaks tõendama juhi piisavaid </w:t>
      </w:r>
      <w:r w:rsidR="001C35A1">
        <w:t xml:space="preserve">teadmisi ja </w:t>
      </w:r>
      <w:r>
        <w:t xml:space="preserve">oskusi avalikel teedel ohutult </w:t>
      </w:r>
      <w:r w:rsidR="001C35A1">
        <w:t xml:space="preserve">sõiduki juhtimisega </w:t>
      </w:r>
      <w:r>
        <w:t xml:space="preserve">hakkama saada. Viimase </w:t>
      </w:r>
      <w:r w:rsidR="001C35A1">
        <w:t xml:space="preserve">viie aasta jooksul on </w:t>
      </w:r>
      <w:r>
        <w:t xml:space="preserve">aga pilt palju muutunud, sest liiklusse on lisandunud mitmesuguseid motoriseeritud sõiduvahendeid, mille kasutajalt </w:t>
      </w:r>
      <w:r w:rsidR="001C35A1">
        <w:t xml:space="preserve">enam </w:t>
      </w:r>
      <w:r>
        <w:t xml:space="preserve">koolitust </w:t>
      </w:r>
      <w:r w:rsidR="001C35A1">
        <w:t xml:space="preserve">sõiduki juhtimiseks </w:t>
      </w:r>
      <w:r>
        <w:t>ei nõuta.</w:t>
      </w:r>
    </w:p>
    <w:p w14:paraId="6F422D6E" w14:textId="75684671" w:rsidR="002C17F9" w:rsidRDefault="002C17F9" w:rsidP="00CE7397">
      <w:pPr>
        <w:jc w:val="both"/>
      </w:pPr>
      <w:r>
        <w:t>Esimene aspekt on ohu märkamine. LS sätestab pikivaheks asulavälisel teel vähemalt kolm sekundit, asulas kaks. Reaalselt seda vahet hoitakse harva, sest maanteekiirusel (90 km/h) võrdub nõutav pikivahe 75 meetriga – tiheda liiklus</w:t>
      </w:r>
      <w:r w:rsidR="00CB633E">
        <w:t>e</w:t>
      </w:r>
      <w:r>
        <w:t xml:space="preserve"> korral võib kindel olla, et keegi end </w:t>
      </w:r>
      <w:r w:rsidR="004D6EE8">
        <w:t xml:space="preserve">veel lisaks sellesse </w:t>
      </w:r>
      <w:r>
        <w:t xml:space="preserve">vahesse mahutab. Uuringud on näidanud, et valdavalt on vahed alla kahe sekundi. Juht keskendub eessõitjasse ja tema tähelepanuväli aheneb </w:t>
      </w:r>
      <w:r w:rsidR="004D6EE8">
        <w:t xml:space="preserve">koos </w:t>
      </w:r>
      <w:r>
        <w:t xml:space="preserve">kiirusega. Eriti ohtlik on </w:t>
      </w:r>
      <w:r w:rsidR="004D6EE8">
        <w:t xml:space="preserve">liiga </w:t>
      </w:r>
      <w:r>
        <w:t xml:space="preserve">väikese vahega liikumine suurema eessõitja taga, sest selline </w:t>
      </w:r>
      <w:r w:rsidR="004D6EE8">
        <w:t xml:space="preserve">liikuja </w:t>
      </w:r>
      <w:r>
        <w:t xml:space="preserve">varjab </w:t>
      </w:r>
      <w:r w:rsidR="004D6EE8">
        <w:t xml:space="preserve">juhil </w:t>
      </w:r>
      <w:r>
        <w:t xml:space="preserve">laiema vaate, seda enam mida lähemal oleme. Tõsiasi, et teise tuules sõites </w:t>
      </w:r>
      <w:commentRangeStart w:id="5"/>
      <w:r>
        <w:t xml:space="preserve">on kütusekulu väiksem, ei </w:t>
      </w:r>
      <w:commentRangeEnd w:id="5"/>
      <w:r w:rsidR="007F5350">
        <w:rPr>
          <w:rStyle w:val="CommentReference"/>
        </w:rPr>
        <w:commentReference w:id="5"/>
      </w:r>
      <w:r>
        <w:t xml:space="preserve">tasakaalusta ohtu. Ja juhul, kui eessõitja teeb takistusest või aeglasemast liiklejast möödudes ootamatu manöövri (ilma kolmesekundise suunanäitamiseta enne manöövrit), ei jõuagi </w:t>
      </w:r>
      <w:r w:rsidR="00F30F9D">
        <w:t xml:space="preserve">tema taga sõitev </w:t>
      </w:r>
      <w:r>
        <w:t>juht midagi ette võtta.</w:t>
      </w:r>
    </w:p>
    <w:p w14:paraId="39A664D6" w14:textId="4CA34440" w:rsidR="002C17F9" w:rsidRDefault="002C17F9" w:rsidP="0001780A">
      <w:pPr>
        <w:pStyle w:val="ListParagraph"/>
        <w:numPr>
          <w:ilvl w:val="0"/>
          <w:numId w:val="2"/>
        </w:numPr>
        <w:jc w:val="both"/>
      </w:pPr>
      <w:r>
        <w:t xml:space="preserve">Probleemiks on ka see, et </w:t>
      </w:r>
      <w:r w:rsidR="000469A9">
        <w:t xml:space="preserve">sõiduki </w:t>
      </w:r>
      <w:r>
        <w:t xml:space="preserve">igasugused automaatsed abivahendid võtavad juhilt ajutiselt teatud ülesanded, mistõttu juht roolis võib olla ka puhkeseisundis. Ärkvel, aga mõtleb oma mõtteid või tegeleb kõrvaliste asjadega ning aeg ohu märkamisest reaalse tegevuseni võib </w:t>
      </w:r>
      <w:r w:rsidR="00C87451">
        <w:t xml:space="preserve">seetõttu </w:t>
      </w:r>
      <w:r>
        <w:t>olla oluliselt pikem.</w:t>
      </w:r>
      <w:r w:rsidR="00AF622F">
        <w:t xml:space="preserve"> Seepärast arvestatakse juhi reaktsiooniajaks erinevatel andmetel 1,6...2 sekundit kuigi aktiivolukorras on see </w:t>
      </w:r>
      <w:r w:rsidR="000469A9">
        <w:t xml:space="preserve">ainult </w:t>
      </w:r>
      <w:r w:rsidR="00AF622F">
        <w:t>0,2...0,5 sekundit.</w:t>
      </w:r>
      <w:r>
        <w:t xml:space="preserve"> </w:t>
      </w:r>
    </w:p>
    <w:p w14:paraId="34931EC8" w14:textId="79B37102" w:rsidR="0001780A" w:rsidRDefault="0001780A" w:rsidP="0001780A">
      <w:pPr>
        <w:pStyle w:val="ListParagraph"/>
        <w:numPr>
          <w:ilvl w:val="0"/>
          <w:numId w:val="2"/>
        </w:numPr>
        <w:jc w:val="both"/>
      </w:pPr>
      <w:r>
        <w:t xml:space="preserve">Suuremaks mureks on mitmesugused nutiseadmed. </w:t>
      </w:r>
      <w:commentRangeStart w:id="6"/>
      <w:r>
        <w:t xml:space="preserve">Pole harvad juhtumid, kus juht </w:t>
      </w:r>
      <w:commentRangeEnd w:id="6"/>
      <w:r w:rsidR="00C97769">
        <w:rPr>
          <w:rStyle w:val="CommentReference"/>
        </w:rPr>
        <w:commentReference w:id="6"/>
      </w:r>
      <w:r>
        <w:t>sõidu ajal kasutab mõnd sõnumivahetusrakendust</w:t>
      </w:r>
      <w:r w:rsidR="002B1E3C">
        <w:t xml:space="preserve"> või surfab veebis</w:t>
      </w:r>
      <w:r>
        <w:t>.</w:t>
      </w:r>
    </w:p>
    <w:p w14:paraId="1EB617C2" w14:textId="2E7E1EA6" w:rsidR="0001780A" w:rsidRDefault="0001780A" w:rsidP="00D25CAB">
      <w:pPr>
        <w:pStyle w:val="ListParagraph"/>
        <w:numPr>
          <w:ilvl w:val="0"/>
          <w:numId w:val="2"/>
        </w:numPr>
        <w:jc w:val="both"/>
      </w:pPr>
      <w:r>
        <w:t>Veidi vaieldavam on autos telefonikasutus siis, kui käed-vabad funktsiooni kasutatakse. Kindlalt keelatud on telefoni käeshoidmine, kuid ka telefonisuhtlus käed</w:t>
      </w:r>
      <w:r w:rsidR="00C87451">
        <w:t>-</w:t>
      </w:r>
      <w:r>
        <w:t>vabad režiimis võib tähelepanu juhtimiselt kõrvale tõmmata. Navigaatorites tuleks sihtkoht siiski enne sõitu paika panna nii, et sõidu ajal seadet näppima ei peaks – vahet pole kas näpid telefoni või navigaatorit, tähelepanu on teistel asjadel mitmeks sekundiks..</w:t>
      </w:r>
    </w:p>
    <w:p w14:paraId="4158CCD6" w14:textId="77777777" w:rsidR="008A39F8" w:rsidRDefault="008A39F8" w:rsidP="00CE7397">
      <w:pPr>
        <w:jc w:val="both"/>
        <w:rPr>
          <w:b/>
          <w:bCs/>
        </w:rPr>
      </w:pPr>
    </w:p>
    <w:p w14:paraId="7946615A" w14:textId="149C3970" w:rsidR="008A39F8" w:rsidRDefault="008A39F8" w:rsidP="00CB633E">
      <w:pPr>
        <w:pStyle w:val="Heading2"/>
        <w:numPr>
          <w:ilvl w:val="0"/>
          <w:numId w:val="3"/>
        </w:numPr>
        <w:ind w:left="426"/>
        <w:jc w:val="both"/>
      </w:pPr>
      <w:r>
        <w:t>Sõidukid. Juhiabid või juhiabitussüsteemid?</w:t>
      </w:r>
    </w:p>
    <w:p w14:paraId="2EE9C3B3" w14:textId="5D2DCE86" w:rsidR="006759B4" w:rsidRDefault="006759B4" w:rsidP="00CE7397">
      <w:pPr>
        <w:jc w:val="both"/>
      </w:pPr>
      <w:r w:rsidRPr="00D25CAB">
        <w:rPr>
          <w:b/>
          <w:bCs/>
        </w:rPr>
        <w:t>Sõidukid</w:t>
      </w:r>
      <w:r>
        <w:t xml:space="preserve"> läbivad ülevaatuse ja tehnonõuded pidevalt karmistuvad. </w:t>
      </w:r>
      <w:commentRangeStart w:id="7"/>
      <w:r>
        <w:t xml:space="preserve">Uutes autodes on ohutuse </w:t>
      </w:r>
      <w:commentRangeEnd w:id="7"/>
      <w:r w:rsidR="00C97769">
        <w:rPr>
          <w:rStyle w:val="CommentReference"/>
        </w:rPr>
        <w:commentReference w:id="7"/>
      </w:r>
      <w:r>
        <w:t>nimel rakendatud järjest enam elektroonilisi abivahendeid</w:t>
      </w:r>
      <w:r w:rsidR="004F3FC2">
        <w:t>,</w:t>
      </w:r>
      <w:r>
        <w:t xml:space="preserve"> mis peaks juhti hoiatama ohtude eest või koguni midagi juhist sõltumatult ette võtma. Just see tegur on viimase paari aastakümne jooksul teinud väga suure arengu.</w:t>
      </w:r>
      <w:r w:rsidR="00672ED4">
        <w:t xml:space="preserve"> Alates kokkupõrkel kontrollitult deformeeruvatest autokeredest ja turvavööde rakendamisest kuni automaatsete pidurdussüsteemideni.</w:t>
      </w:r>
      <w:r w:rsidR="00AF622F">
        <w:t xml:space="preserve"> Mõned funktsioonid, mille mõju liiklusohutusele tundub kahetine:</w:t>
      </w:r>
    </w:p>
    <w:p w14:paraId="230F3837" w14:textId="6919ED93" w:rsidR="0001780A" w:rsidRDefault="00AF622F" w:rsidP="00AF622F">
      <w:pPr>
        <w:pStyle w:val="ListParagraph"/>
        <w:numPr>
          <w:ilvl w:val="0"/>
          <w:numId w:val="1"/>
        </w:numPr>
        <w:jc w:val="both"/>
      </w:pPr>
      <w:r>
        <w:t xml:space="preserve">Adaptiivne püsikiirushoidja – võimaldab mitte hoida jalga gaasipedaalil ja siit tulenevalt võib häire korral jala pidurile viimine rohkem aega võtta. </w:t>
      </w:r>
      <w:r w:rsidR="00A90D65">
        <w:t xml:space="preserve">Kui süsteem on seotud ka </w:t>
      </w:r>
      <w:r w:rsidR="00A90D65">
        <w:lastRenderedPageBreak/>
        <w:t>liiklusmärkide tuvastamisega et siis märgil näidatud kiirust järgida, on ohud aga suuremad nii seetõttu, et pahatihti tuntakse ära märk mis kehtib vaateväljas paiknevale teisele teelõigule või koguni arvestatakse kiiruspiiranguks teeäärse reklaami pealt tuvastatud number.</w:t>
      </w:r>
    </w:p>
    <w:p w14:paraId="2250B304" w14:textId="0BC31457" w:rsidR="00AF622F" w:rsidRDefault="0001780A" w:rsidP="00AF622F">
      <w:pPr>
        <w:pStyle w:val="ListParagraph"/>
        <w:numPr>
          <w:ilvl w:val="0"/>
          <w:numId w:val="1"/>
        </w:numPr>
        <w:jc w:val="both"/>
      </w:pPr>
      <w:r>
        <w:t xml:space="preserve">Avariipidurduse süsteem mis võib olla ka </w:t>
      </w:r>
      <w:commentRangeStart w:id="8"/>
      <w:r>
        <w:t>püsikiirushoidjaga seotud</w:t>
      </w:r>
      <w:r w:rsidR="00AF622F">
        <w:t xml:space="preserve"> – kui eessõitja on </w:t>
      </w:r>
      <w:commentRangeEnd w:id="8"/>
      <w:r w:rsidR="00C97769">
        <w:rPr>
          <w:rStyle w:val="CommentReference"/>
        </w:rPr>
        <w:commentReference w:id="8"/>
      </w:r>
      <w:r w:rsidR="00AF622F">
        <w:t xml:space="preserve">suuna sisse </w:t>
      </w:r>
      <w:r w:rsidR="00673422">
        <w:t xml:space="preserve">lülitanud </w:t>
      </w:r>
      <w:r w:rsidR="00AF622F">
        <w:t xml:space="preserve">ja valmistub pööret sooritama, arvestab kogenud juht sellega ning ajastab oma </w:t>
      </w:r>
      <w:r>
        <w:t>liikumise</w:t>
      </w:r>
      <w:r w:rsidR="00AF622F">
        <w:t xml:space="preserve"> nii, et mitte pöörajale otsa sõita, kuid samas mitte kaotad</w:t>
      </w:r>
      <w:r>
        <w:t>es</w:t>
      </w:r>
      <w:r w:rsidR="00AF622F">
        <w:t xml:space="preserve"> liiga palju kiirust. Kui </w:t>
      </w:r>
      <w:r>
        <w:t xml:space="preserve">automaatika </w:t>
      </w:r>
      <w:r w:rsidR="00AF622F">
        <w:t xml:space="preserve">tunneb, et kaugus eessõitjaga on liiga väike, rakendub pidurdussüsteem. Ja see on kolonnis järgmise liikuja </w:t>
      </w:r>
      <w:r>
        <w:t>jaoks</w:t>
      </w:r>
      <w:r w:rsidR="00AF622F">
        <w:t xml:space="preserve"> ootamatu.</w:t>
      </w:r>
    </w:p>
    <w:p w14:paraId="5C41C7BB" w14:textId="587240BB" w:rsidR="00AF622F" w:rsidRDefault="00AF622F" w:rsidP="00AF622F">
      <w:pPr>
        <w:pStyle w:val="ListParagraph"/>
        <w:numPr>
          <w:ilvl w:val="0"/>
          <w:numId w:val="1"/>
        </w:numPr>
        <w:jc w:val="both"/>
      </w:pPr>
      <w:r>
        <w:t xml:space="preserve">Automaatne rajahoidmise süsteem – toimetab vastavalt tuvastatavale kattemarkeeringule. Kui aga markeering on osaliselt kulunud, võib see „jälje kaotada“. Korraliku markeeringu puhul hoiab süsteem aga sõiduki kenasti sõiduraja teljel. </w:t>
      </w:r>
      <w:r w:rsidR="00A90D65">
        <w:t xml:space="preserve">Paraku, võib süsteem aga liikleja suunata bussitaskut läbima või hullemal juhul </w:t>
      </w:r>
      <w:r w:rsidR="000A70B9">
        <w:t xml:space="preserve">kui ääremärgiseks peetakse telgjoonemärgist, </w:t>
      </w:r>
      <w:r w:rsidR="00A90D65">
        <w:t xml:space="preserve">vastassuunavööndisse. </w:t>
      </w:r>
      <w:r>
        <w:t>Kaasnähtusena on pigem katte intensiivne kulumine, sest sõidukid liiguvad jälg jäljes. Seos liiklusohutusega on kiiremas roopa moodustumises mis vihmaga vett täis ja võib põhjustada vesiliu.</w:t>
      </w:r>
    </w:p>
    <w:p w14:paraId="14ED72B8" w14:textId="32A77D5A" w:rsidR="00AF622F" w:rsidRDefault="0001780A" w:rsidP="00D25CAB">
      <w:pPr>
        <w:pStyle w:val="ListParagraph"/>
        <w:numPr>
          <w:ilvl w:val="0"/>
          <w:numId w:val="1"/>
        </w:numPr>
        <w:jc w:val="both"/>
      </w:pPr>
      <w:r>
        <w:t xml:space="preserve">Automaatne kaug- ja lähitulede vahetus vastavate anduritega, mis tuvastavad igasuguse valguse vastassuunast – tegemata vahet vastusõitja tulede ja suuremalt liiklusmärgilt (tahvlilt) oma tulede peegeldusel. Seetõttu võib auto ootamatult minna lähituledele ja kui kiirus ei vasta tulede ulatusele, võib takistus märkamata jääda. </w:t>
      </w:r>
    </w:p>
    <w:p w14:paraId="6B3DEB65" w14:textId="55D83DA6" w:rsidR="008A39F8" w:rsidRDefault="008A39F8" w:rsidP="008A39F8">
      <w:pPr>
        <w:jc w:val="both"/>
      </w:pPr>
      <w:r>
        <w:t xml:space="preserve">Viimase 10 ja enama aasta jooksul on autodes massiliselt hakanud levima puutetundlike ekraanide kasutamine lihtsate ja levinud funktsioonide haldamiseks. Raadiojaama, salongitemperatuuri või istmesoojenduse haldamine sõidu ajal võib halvemal juhul </w:t>
      </w:r>
      <w:r w:rsidR="009F4305">
        <w:t xml:space="preserve">tähendada </w:t>
      </w:r>
      <w:r>
        <w:t>maanteel seda, et auto läbib 50 meetrit „pimesi“</w:t>
      </w:r>
      <w:r w:rsidR="009F4305">
        <w:t xml:space="preserve"> kui juht üritab tabada kusagil ekraanisügavuses õiget ruutsentimeetrit.</w:t>
      </w:r>
    </w:p>
    <w:p w14:paraId="336EEFED" w14:textId="7AD87511" w:rsidR="008A39F8" w:rsidRDefault="008A39F8" w:rsidP="00CB633E">
      <w:pPr>
        <w:pStyle w:val="Heading2"/>
        <w:numPr>
          <w:ilvl w:val="0"/>
          <w:numId w:val="3"/>
        </w:numPr>
        <w:ind w:left="426"/>
        <w:jc w:val="both"/>
      </w:pPr>
      <w:r>
        <w:t>Teed</w:t>
      </w:r>
    </w:p>
    <w:p w14:paraId="4FED6ECC" w14:textId="13CD1A0A" w:rsidR="009F746B" w:rsidRDefault="00764E45" w:rsidP="00CE7397">
      <w:pPr>
        <w:jc w:val="both"/>
      </w:pPr>
      <w:r w:rsidRPr="00D25CAB">
        <w:rPr>
          <w:b/>
          <w:bCs/>
        </w:rPr>
        <w:t>Ka teed on aja jooksul muutunud</w:t>
      </w:r>
      <w:r>
        <w:t xml:space="preserve">. Teedevõrk on meil formeerunud eelmisel sajandil ning kilomeetreid juurde on tulnud vähe, </w:t>
      </w:r>
      <w:r w:rsidR="002B1E3C">
        <w:t>k</w:t>
      </w:r>
      <w:r>
        <w:t>uid teed on muutunud laiemaks ja siledamaks.</w:t>
      </w:r>
      <w:r w:rsidR="009E45C4">
        <w:t xml:space="preserve"> Projekteerimisnormides on sätestatud nõuded sõiduradade laiuseks ja ka teepeenrad – asfaldiga peenraosa nimetame kaetud peenraks, kruusaga tugipeenraks. Sõiduraja laius on vastuoluline parameeter – mida kitsam on sõidurada, seda madalamad on kiirused ja samas, seda rohkem ka juht väsib sel teel liikudes ning seetõttu kaasneb kitsama sõidurajaga ka suurem avariioht.</w:t>
      </w:r>
      <w:r w:rsidR="00733458">
        <w:t xml:space="preserve"> Ka kulub kitsam sõidurada kiiremini sest sõidukid liiguvad rohkem jälg-jäljes. </w:t>
      </w:r>
      <w:r w:rsidR="009E45C4">
        <w:t xml:space="preserve"> Teepeenar on </w:t>
      </w:r>
      <w:r w:rsidR="00F05D85">
        <w:t>kunagi mõeldud avariilise sõidukiga sõidurajalt kõrvalekeeramiseks</w:t>
      </w:r>
      <w:r w:rsidR="009F746B">
        <w:t>, kuid reaalselt on meie tehnika vastupidavam kui varem ning seetõttu on tähelepanu peenra omadustele kahanenud.</w:t>
      </w:r>
    </w:p>
    <w:p w14:paraId="3BF47D4B" w14:textId="50B72310" w:rsidR="00764E45" w:rsidRDefault="009F746B" w:rsidP="00CE7397">
      <w:pPr>
        <w:jc w:val="both"/>
      </w:pPr>
      <w:r>
        <w:t>Projekteerimisnorm</w:t>
      </w:r>
      <w:r w:rsidR="00A018AC">
        <w:t xml:space="preserve"> on seni (kuni 2023) jaganud tee klassidesse perspektiivse liiklussageduse alusel (20-aastase kasutusaja lõpuks), alates 2023 on klassid kaotatud ja kasutatakse funktsionaalset jaotust, tee liigist (põhi-tugi-kõrvalmaanteed), kiirusest ja liiklussagedusest sõltuvalt valitakse parameetrid, kuid võrreldes </w:t>
      </w:r>
      <w:r w:rsidR="00733458">
        <w:t>algse M55 (</w:t>
      </w:r>
      <w:r w:rsidR="000A70B9">
        <w:t>määrus 55, projekteerimis</w:t>
      </w:r>
      <w:r w:rsidR="00733458">
        <w:t xml:space="preserve">norm 1999-2015) ja </w:t>
      </w:r>
      <w:r w:rsidR="00A018AC">
        <w:t xml:space="preserve">M106 </w:t>
      </w:r>
      <w:r w:rsidR="00733458">
        <w:t>(2015-20</w:t>
      </w:r>
      <w:r w:rsidR="002B1E3C">
        <w:t>23) parameetrite</w:t>
      </w:r>
      <w:r w:rsidR="00A018AC">
        <w:t>ga palju muutunud ei ole.</w:t>
      </w:r>
    </w:p>
    <w:p w14:paraId="6C70824D" w14:textId="77777777" w:rsidR="00364A1B" w:rsidRDefault="00364A1B" w:rsidP="00CE7397">
      <w:pPr>
        <w:jc w:val="both"/>
      </w:pPr>
    </w:p>
    <w:tbl>
      <w:tblPr>
        <w:tblStyle w:val="TableGrid"/>
        <w:tblW w:w="9151" w:type="dxa"/>
        <w:tblLook w:val="04A0" w:firstRow="1" w:lastRow="0" w:firstColumn="1" w:lastColumn="0" w:noHBand="0" w:noVBand="1"/>
      </w:tblPr>
      <w:tblGrid>
        <w:gridCol w:w="1609"/>
        <w:gridCol w:w="1463"/>
        <w:gridCol w:w="1580"/>
        <w:gridCol w:w="1282"/>
        <w:gridCol w:w="1114"/>
        <w:gridCol w:w="1214"/>
        <w:gridCol w:w="889"/>
      </w:tblGrid>
      <w:tr w:rsidR="00DE44D3" w14:paraId="51647C98" w14:textId="77777777" w:rsidTr="00DE44D3">
        <w:tc>
          <w:tcPr>
            <w:tcW w:w="1609" w:type="dxa"/>
          </w:tcPr>
          <w:p w14:paraId="77B93845" w14:textId="0A94CC09" w:rsidR="00A018AC" w:rsidRDefault="00A018AC" w:rsidP="00CE7397">
            <w:pPr>
              <w:jc w:val="both"/>
            </w:pPr>
            <w:r>
              <w:t>Tee klass</w:t>
            </w:r>
          </w:p>
        </w:tc>
        <w:tc>
          <w:tcPr>
            <w:tcW w:w="1463" w:type="dxa"/>
          </w:tcPr>
          <w:p w14:paraId="17B0A2C2" w14:textId="6D1A7A81" w:rsidR="00A018AC" w:rsidRDefault="00A018AC" w:rsidP="00CE7397">
            <w:pPr>
              <w:jc w:val="both"/>
            </w:pPr>
            <w:r>
              <w:t>1 (2+2)</w:t>
            </w:r>
          </w:p>
        </w:tc>
        <w:tc>
          <w:tcPr>
            <w:tcW w:w="1580" w:type="dxa"/>
          </w:tcPr>
          <w:p w14:paraId="6E60B155" w14:textId="795C566C" w:rsidR="00A018AC" w:rsidRDefault="00A018AC" w:rsidP="00CE7397">
            <w:pPr>
              <w:jc w:val="both"/>
            </w:pPr>
            <w:r>
              <w:t>2</w:t>
            </w:r>
          </w:p>
        </w:tc>
        <w:tc>
          <w:tcPr>
            <w:tcW w:w="1282" w:type="dxa"/>
          </w:tcPr>
          <w:p w14:paraId="0E800750" w14:textId="1BE13FBB" w:rsidR="00A018AC" w:rsidRDefault="00A018AC" w:rsidP="00CE7397">
            <w:pPr>
              <w:jc w:val="both"/>
            </w:pPr>
            <w:r>
              <w:t>3</w:t>
            </w:r>
          </w:p>
        </w:tc>
        <w:tc>
          <w:tcPr>
            <w:tcW w:w="1114" w:type="dxa"/>
          </w:tcPr>
          <w:p w14:paraId="60A53E3C" w14:textId="3B4A9CC3" w:rsidR="00A018AC" w:rsidRDefault="00A018AC" w:rsidP="00CE7397">
            <w:pPr>
              <w:jc w:val="both"/>
            </w:pPr>
            <w:r>
              <w:t>4</w:t>
            </w:r>
          </w:p>
        </w:tc>
        <w:tc>
          <w:tcPr>
            <w:tcW w:w="1214" w:type="dxa"/>
          </w:tcPr>
          <w:p w14:paraId="3E516A26" w14:textId="5A1C5918" w:rsidR="00A018AC" w:rsidRDefault="00A018AC" w:rsidP="00CE7397">
            <w:pPr>
              <w:jc w:val="both"/>
            </w:pPr>
            <w:r>
              <w:t>5</w:t>
            </w:r>
          </w:p>
        </w:tc>
        <w:tc>
          <w:tcPr>
            <w:tcW w:w="889" w:type="dxa"/>
          </w:tcPr>
          <w:p w14:paraId="5462124A" w14:textId="2B81A282" w:rsidR="00A018AC" w:rsidRDefault="00A018AC" w:rsidP="00CE7397">
            <w:pPr>
              <w:jc w:val="both"/>
            </w:pPr>
            <w:r>
              <w:t>6</w:t>
            </w:r>
          </w:p>
        </w:tc>
      </w:tr>
      <w:tr w:rsidR="00DE44D3" w14:paraId="58313B88" w14:textId="77777777" w:rsidTr="00DE44D3">
        <w:tc>
          <w:tcPr>
            <w:tcW w:w="1609" w:type="dxa"/>
          </w:tcPr>
          <w:p w14:paraId="170CB9A6" w14:textId="40463139" w:rsidR="00A018AC" w:rsidRDefault="00A018AC" w:rsidP="00CE7397">
            <w:pPr>
              <w:jc w:val="both"/>
            </w:pPr>
            <w:r>
              <w:t>M55</w:t>
            </w:r>
            <w:r w:rsidR="00733458">
              <w:t xml:space="preserve"> liiklus</w:t>
            </w:r>
          </w:p>
        </w:tc>
        <w:tc>
          <w:tcPr>
            <w:tcW w:w="1463" w:type="dxa"/>
          </w:tcPr>
          <w:p w14:paraId="5E3AD465" w14:textId="3C904245" w:rsidR="00A018AC" w:rsidRDefault="00A018AC" w:rsidP="00CE7397">
            <w:pPr>
              <w:jc w:val="both"/>
            </w:pPr>
            <w:r>
              <w:t>8000+</w:t>
            </w:r>
          </w:p>
        </w:tc>
        <w:tc>
          <w:tcPr>
            <w:tcW w:w="1580" w:type="dxa"/>
          </w:tcPr>
          <w:p w14:paraId="11F2FE49" w14:textId="10B87781" w:rsidR="00A018AC" w:rsidRDefault="00A018AC" w:rsidP="00CE7397">
            <w:pPr>
              <w:jc w:val="both"/>
            </w:pPr>
            <w:r>
              <w:t>4000+</w:t>
            </w:r>
          </w:p>
        </w:tc>
        <w:tc>
          <w:tcPr>
            <w:tcW w:w="1282" w:type="dxa"/>
          </w:tcPr>
          <w:p w14:paraId="3211F6F6" w14:textId="0201E1E7" w:rsidR="00A018AC" w:rsidRDefault="00A018AC" w:rsidP="00CE7397">
            <w:pPr>
              <w:jc w:val="both"/>
            </w:pPr>
            <w:r>
              <w:t>1000+</w:t>
            </w:r>
          </w:p>
        </w:tc>
        <w:tc>
          <w:tcPr>
            <w:tcW w:w="1114" w:type="dxa"/>
          </w:tcPr>
          <w:p w14:paraId="763BF6EF" w14:textId="217D6C2F" w:rsidR="00A018AC" w:rsidRDefault="00A018AC" w:rsidP="00CE7397">
            <w:pPr>
              <w:jc w:val="both"/>
            </w:pPr>
            <w:r>
              <w:t>200+</w:t>
            </w:r>
          </w:p>
        </w:tc>
        <w:tc>
          <w:tcPr>
            <w:tcW w:w="1214" w:type="dxa"/>
          </w:tcPr>
          <w:p w14:paraId="757D182C" w14:textId="34B1FCBD" w:rsidR="00A018AC" w:rsidRDefault="00A018AC" w:rsidP="00CE7397">
            <w:pPr>
              <w:jc w:val="both"/>
            </w:pPr>
            <w:r>
              <w:t>Alla 200</w:t>
            </w:r>
          </w:p>
        </w:tc>
        <w:tc>
          <w:tcPr>
            <w:tcW w:w="889" w:type="dxa"/>
          </w:tcPr>
          <w:p w14:paraId="5B1538CF" w14:textId="77777777" w:rsidR="00A018AC" w:rsidRDefault="00A018AC" w:rsidP="00CE7397">
            <w:pPr>
              <w:jc w:val="both"/>
            </w:pPr>
          </w:p>
        </w:tc>
      </w:tr>
      <w:tr w:rsidR="008061A8" w14:paraId="44B3D2FA" w14:textId="77777777" w:rsidTr="008061A8">
        <w:tc>
          <w:tcPr>
            <w:tcW w:w="1609" w:type="dxa"/>
          </w:tcPr>
          <w:p w14:paraId="18F1DC9A" w14:textId="1E1E9F30" w:rsidR="00A018AC" w:rsidRDefault="00DE44D3" w:rsidP="00CE7397">
            <w:pPr>
              <w:jc w:val="both"/>
            </w:pPr>
            <w:r>
              <w:t>Rada+peenrad</w:t>
            </w:r>
          </w:p>
        </w:tc>
        <w:tc>
          <w:tcPr>
            <w:tcW w:w="1463" w:type="dxa"/>
          </w:tcPr>
          <w:p w14:paraId="11A8BA78" w14:textId="444D356C" w:rsidR="00A018AC" w:rsidRDefault="00A018AC" w:rsidP="00CE7397">
            <w:pPr>
              <w:jc w:val="both"/>
            </w:pPr>
            <w:r>
              <w:t>3,75+2,5+0,5</w:t>
            </w:r>
          </w:p>
        </w:tc>
        <w:tc>
          <w:tcPr>
            <w:tcW w:w="1580" w:type="dxa"/>
          </w:tcPr>
          <w:p w14:paraId="11063BC1" w14:textId="13FE28DE" w:rsidR="00A018AC" w:rsidRDefault="00A018AC" w:rsidP="00CE7397">
            <w:pPr>
              <w:jc w:val="both"/>
            </w:pPr>
            <w:r>
              <w:t>3,75+2,25+0,5</w:t>
            </w:r>
          </w:p>
        </w:tc>
        <w:tc>
          <w:tcPr>
            <w:tcW w:w="1282" w:type="dxa"/>
          </w:tcPr>
          <w:p w14:paraId="372F0A65" w14:textId="17779A41" w:rsidR="00A018AC" w:rsidRDefault="00A018AC" w:rsidP="00CE7397">
            <w:pPr>
              <w:jc w:val="both"/>
            </w:pPr>
            <w:r>
              <w:t>3,5+1+0,5</w:t>
            </w:r>
          </w:p>
        </w:tc>
        <w:tc>
          <w:tcPr>
            <w:tcW w:w="1114" w:type="dxa"/>
          </w:tcPr>
          <w:p w14:paraId="22AE8FC6" w14:textId="3F674756" w:rsidR="00A018AC" w:rsidRDefault="00DE44D3" w:rsidP="00CE7397">
            <w:pPr>
              <w:jc w:val="both"/>
            </w:pPr>
            <w:r>
              <w:t>3+1+0,5</w:t>
            </w:r>
          </w:p>
        </w:tc>
        <w:tc>
          <w:tcPr>
            <w:tcW w:w="1214" w:type="dxa"/>
          </w:tcPr>
          <w:p w14:paraId="1DCE528F" w14:textId="15A84669" w:rsidR="00A018AC" w:rsidRDefault="00DE44D3" w:rsidP="00CE7397">
            <w:pPr>
              <w:jc w:val="both"/>
            </w:pPr>
            <w:r>
              <w:t>3+0,5+0,5</w:t>
            </w:r>
          </w:p>
        </w:tc>
        <w:tc>
          <w:tcPr>
            <w:tcW w:w="889" w:type="dxa"/>
          </w:tcPr>
          <w:p w14:paraId="0F41F133" w14:textId="77777777" w:rsidR="00A018AC" w:rsidRDefault="00A018AC" w:rsidP="00CE7397">
            <w:pPr>
              <w:jc w:val="both"/>
            </w:pPr>
          </w:p>
        </w:tc>
      </w:tr>
      <w:tr w:rsidR="00DE44D3" w14:paraId="4214FEE0" w14:textId="77777777" w:rsidTr="00DE44D3">
        <w:tc>
          <w:tcPr>
            <w:tcW w:w="1609" w:type="dxa"/>
          </w:tcPr>
          <w:p w14:paraId="73C5C48B" w14:textId="3B1B4929" w:rsidR="00A018AC" w:rsidRDefault="00A018AC" w:rsidP="00CE7397">
            <w:pPr>
              <w:jc w:val="both"/>
            </w:pPr>
            <w:r>
              <w:t xml:space="preserve">M106 </w:t>
            </w:r>
            <w:r w:rsidR="00733458">
              <w:t>liiklus</w:t>
            </w:r>
          </w:p>
        </w:tc>
        <w:tc>
          <w:tcPr>
            <w:tcW w:w="1463" w:type="dxa"/>
          </w:tcPr>
          <w:p w14:paraId="0511F72B" w14:textId="773A3C4D" w:rsidR="00A018AC" w:rsidRDefault="00A018AC" w:rsidP="00CE7397">
            <w:pPr>
              <w:jc w:val="both"/>
            </w:pPr>
            <w:r>
              <w:t>14500+</w:t>
            </w:r>
          </w:p>
        </w:tc>
        <w:tc>
          <w:tcPr>
            <w:tcW w:w="1580" w:type="dxa"/>
          </w:tcPr>
          <w:p w14:paraId="1D43EB0A" w14:textId="3F299324" w:rsidR="00A018AC" w:rsidRDefault="00A018AC" w:rsidP="00CE7397">
            <w:pPr>
              <w:jc w:val="both"/>
            </w:pPr>
            <w:r>
              <w:t>6000+</w:t>
            </w:r>
          </w:p>
        </w:tc>
        <w:tc>
          <w:tcPr>
            <w:tcW w:w="1282" w:type="dxa"/>
          </w:tcPr>
          <w:p w14:paraId="519C9DDF" w14:textId="7F5D0CA3" w:rsidR="00A018AC" w:rsidRDefault="00A018AC" w:rsidP="00CE7397">
            <w:pPr>
              <w:jc w:val="both"/>
            </w:pPr>
            <w:r>
              <w:t>3000+</w:t>
            </w:r>
          </w:p>
        </w:tc>
        <w:tc>
          <w:tcPr>
            <w:tcW w:w="1114" w:type="dxa"/>
          </w:tcPr>
          <w:p w14:paraId="0061598B" w14:textId="431FD583" w:rsidR="00A018AC" w:rsidRDefault="00A018AC" w:rsidP="00CE7397">
            <w:pPr>
              <w:jc w:val="both"/>
            </w:pPr>
            <w:r>
              <w:t>500+</w:t>
            </w:r>
          </w:p>
        </w:tc>
        <w:tc>
          <w:tcPr>
            <w:tcW w:w="1214" w:type="dxa"/>
          </w:tcPr>
          <w:p w14:paraId="31B4E1B2" w14:textId="41BB9102" w:rsidR="00A018AC" w:rsidRDefault="00A018AC" w:rsidP="00CE7397">
            <w:pPr>
              <w:jc w:val="both"/>
            </w:pPr>
            <w:r>
              <w:t>50+</w:t>
            </w:r>
          </w:p>
        </w:tc>
        <w:tc>
          <w:tcPr>
            <w:tcW w:w="889" w:type="dxa"/>
          </w:tcPr>
          <w:p w14:paraId="034325FD" w14:textId="5F8060F2" w:rsidR="00A018AC" w:rsidRDefault="00A018AC" w:rsidP="00CE7397">
            <w:pPr>
              <w:jc w:val="both"/>
            </w:pPr>
            <w:r>
              <w:t>Alla 50</w:t>
            </w:r>
          </w:p>
        </w:tc>
      </w:tr>
      <w:tr w:rsidR="00DE44D3" w14:paraId="1CFAE402" w14:textId="77777777" w:rsidTr="008061A8">
        <w:tc>
          <w:tcPr>
            <w:tcW w:w="1609" w:type="dxa"/>
          </w:tcPr>
          <w:p w14:paraId="6C963B1B" w14:textId="77777777" w:rsidR="00DE44D3" w:rsidRDefault="00DE44D3" w:rsidP="00CE7397">
            <w:pPr>
              <w:jc w:val="both"/>
            </w:pPr>
          </w:p>
        </w:tc>
        <w:tc>
          <w:tcPr>
            <w:tcW w:w="1463" w:type="dxa"/>
          </w:tcPr>
          <w:p w14:paraId="5A666E46" w14:textId="02300AE5" w:rsidR="00DE44D3" w:rsidRDefault="00DE44D3" w:rsidP="00CE7397">
            <w:pPr>
              <w:jc w:val="both"/>
            </w:pPr>
            <w:r>
              <w:t>3,75+2,5+0,5</w:t>
            </w:r>
          </w:p>
        </w:tc>
        <w:tc>
          <w:tcPr>
            <w:tcW w:w="1580" w:type="dxa"/>
          </w:tcPr>
          <w:p w14:paraId="15D54C67" w14:textId="77777777" w:rsidR="00DE44D3" w:rsidRDefault="00DE44D3" w:rsidP="00CE7397">
            <w:pPr>
              <w:jc w:val="both"/>
            </w:pPr>
            <w:r>
              <w:t>3,75+1,75+0,5</w:t>
            </w:r>
          </w:p>
          <w:p w14:paraId="26A149D3" w14:textId="5D28B996" w:rsidR="00DE44D3" w:rsidRDefault="00DE44D3" w:rsidP="00CE7397">
            <w:pPr>
              <w:jc w:val="both"/>
            </w:pPr>
            <w:r>
              <w:t>3,50+0,5+0,5*</w:t>
            </w:r>
          </w:p>
        </w:tc>
        <w:tc>
          <w:tcPr>
            <w:tcW w:w="1282" w:type="dxa"/>
          </w:tcPr>
          <w:p w14:paraId="1499E7B1" w14:textId="13B6B806" w:rsidR="00DE44D3" w:rsidRDefault="00DE44D3" w:rsidP="00CE7397">
            <w:pPr>
              <w:jc w:val="both"/>
            </w:pPr>
            <w:r>
              <w:t>3,5+1+0,5</w:t>
            </w:r>
          </w:p>
        </w:tc>
        <w:tc>
          <w:tcPr>
            <w:tcW w:w="1114" w:type="dxa"/>
          </w:tcPr>
          <w:p w14:paraId="6F5A2214" w14:textId="5CDE0D3C" w:rsidR="00DE44D3" w:rsidRDefault="00DE44D3" w:rsidP="00CE7397">
            <w:pPr>
              <w:jc w:val="both"/>
            </w:pPr>
            <w:r>
              <w:t>3+1+0,5</w:t>
            </w:r>
          </w:p>
        </w:tc>
        <w:tc>
          <w:tcPr>
            <w:tcW w:w="1214" w:type="dxa"/>
          </w:tcPr>
          <w:p w14:paraId="6FDA3C9E" w14:textId="1F12FC23" w:rsidR="00DE44D3" w:rsidRDefault="00DE44D3" w:rsidP="00CE7397">
            <w:pPr>
              <w:jc w:val="both"/>
            </w:pPr>
            <w:r>
              <w:t>3+0,5+0,5</w:t>
            </w:r>
          </w:p>
        </w:tc>
        <w:tc>
          <w:tcPr>
            <w:tcW w:w="889" w:type="dxa"/>
          </w:tcPr>
          <w:p w14:paraId="22547435" w14:textId="3CB262F2" w:rsidR="00DE44D3" w:rsidRDefault="00DE44D3" w:rsidP="00CE7397">
            <w:pPr>
              <w:jc w:val="both"/>
            </w:pPr>
            <w:r>
              <w:t>3+0,5</w:t>
            </w:r>
          </w:p>
        </w:tc>
      </w:tr>
    </w:tbl>
    <w:p w14:paraId="31B6C533" w14:textId="77777777" w:rsidR="00364A1B" w:rsidRDefault="00364A1B" w:rsidP="00CE7397">
      <w:pPr>
        <w:jc w:val="both"/>
      </w:pPr>
    </w:p>
    <w:p w14:paraId="1F80CCBE" w14:textId="0F920B48" w:rsidR="00A018AC" w:rsidRDefault="008061A8" w:rsidP="00CE7397">
      <w:pPr>
        <w:jc w:val="both"/>
      </w:pPr>
      <w:r>
        <w:t>Mida me siiamaani jä</w:t>
      </w:r>
      <w:r w:rsidR="004B06F7">
        <w:t>rjekindlalt oleme teinud – kuigi tabelist selgub, et nõuded on vähe muutunud</w:t>
      </w:r>
      <w:r w:rsidR="00733458">
        <w:t xml:space="preserve"> -</w:t>
      </w:r>
      <w:r w:rsidR="004B06F7">
        <w:t xml:space="preserve"> vaid 2. klassi tee peenar (ja ka sõidurada) on kitsamaks läinud, siis tee klassi </w:t>
      </w:r>
      <w:r w:rsidR="00733458">
        <w:t>määrava</w:t>
      </w:r>
      <w:r w:rsidR="004B06F7">
        <w:t xml:space="preserve"> liiklussageduse </w:t>
      </w:r>
      <w:r w:rsidR="00733458">
        <w:t>tase</w:t>
      </w:r>
      <w:r w:rsidR="004B06F7">
        <w:t xml:space="preserve"> on </w:t>
      </w:r>
      <w:r w:rsidR="00733458">
        <w:t xml:space="preserve">tõusnud - </w:t>
      </w:r>
      <w:r w:rsidR="004B06F7">
        <w:t xml:space="preserve"> samale liiklussagedusele vastab madalam tee klass ja </w:t>
      </w:r>
      <w:r w:rsidR="00B25C04">
        <w:t xml:space="preserve">madalamad </w:t>
      </w:r>
      <w:r w:rsidR="004B06F7">
        <w:t>nõuded. Põhjus on lihtne – otsene kokkuhoid asfaltkatte mahus (pindalas).</w:t>
      </w:r>
    </w:p>
    <w:p w14:paraId="39B2DB2F" w14:textId="06EA28FD" w:rsidR="006A0CE6" w:rsidRDefault="00EE1D9E" w:rsidP="00733458">
      <w:pPr>
        <w:jc w:val="both"/>
      </w:pPr>
      <w:r>
        <w:t>Täna kehtivas normis (</w:t>
      </w:r>
      <w:r w:rsidR="00733458">
        <w:t xml:space="preserve">M71, </w:t>
      </w:r>
      <w:r>
        <w:t>mille järgi ei ole veel ühtegi teed valmis ehitatud) on laiused</w:t>
      </w:r>
      <w:r w:rsidR="000A70B9">
        <w:t xml:space="preserve"> ristlõikes</w:t>
      </w:r>
      <w:r>
        <w:t xml:space="preserve"> seotud lubatud kiirusega. </w:t>
      </w:r>
      <w:r w:rsidR="00D7499D">
        <w:t xml:space="preserve">2+2 teede </w:t>
      </w:r>
      <w:r>
        <w:t>110/120 alades on sõidurada 3</w:t>
      </w:r>
      <w:r w:rsidR="00236D59">
        <w:t>.</w:t>
      </w:r>
      <w:r>
        <w:t>5</w:t>
      </w:r>
      <w:r w:rsidR="00236D59">
        <w:t>m</w:t>
      </w:r>
      <w:r>
        <w:t xml:space="preserve"> ja peenrad 2</w:t>
      </w:r>
      <w:r w:rsidR="00236D59">
        <w:t>.</w:t>
      </w:r>
      <w:r>
        <w:t>5+0</w:t>
      </w:r>
      <w:r w:rsidR="00236D59">
        <w:t>.</w:t>
      </w:r>
      <w:r>
        <w:t>5</w:t>
      </w:r>
      <w:r w:rsidR="00236D59">
        <w:t>m</w:t>
      </w:r>
      <w:r>
        <w:t xml:space="preserve"> kuid 90/100 alas (2+2 linnalähialas) on teine rada </w:t>
      </w:r>
      <w:r w:rsidR="00733458">
        <w:t xml:space="preserve">veelgi </w:t>
      </w:r>
      <w:r>
        <w:t>kitsam (3</w:t>
      </w:r>
      <w:r w:rsidR="00236D59">
        <w:t>.</w:t>
      </w:r>
      <w:r>
        <w:t>25</w:t>
      </w:r>
      <w:r w:rsidR="00236D59">
        <w:t>m</w:t>
      </w:r>
      <w:r>
        <w:t>) ja peenrad 1</w:t>
      </w:r>
      <w:r w:rsidR="00236D59">
        <w:t>.</w:t>
      </w:r>
      <w:r>
        <w:t>0+0</w:t>
      </w:r>
      <w:r w:rsidR="00236D59">
        <w:t>.</w:t>
      </w:r>
      <w:r>
        <w:t>5</w:t>
      </w:r>
      <w:r w:rsidR="00236D59">
        <w:t>m</w:t>
      </w:r>
      <w:r w:rsidR="00C3074E">
        <w:t>.</w:t>
      </w:r>
      <w:r w:rsidR="00733458">
        <w:t xml:space="preserve"> Ka madalama liiklussagedusega teede sõidurajad on läinud veelgi kitsamaks.</w:t>
      </w:r>
    </w:p>
    <w:p w14:paraId="150FCC21" w14:textId="0D2E0642" w:rsidR="003D42F6" w:rsidRDefault="003D42F6" w:rsidP="00CB633E">
      <w:pPr>
        <w:pStyle w:val="Heading2"/>
        <w:jc w:val="both"/>
      </w:pPr>
      <w:r>
        <w:t>Teepeen</w:t>
      </w:r>
      <w:r w:rsidR="006A0CE6">
        <w:t>ar on maanteel ainult hädaolukorraks</w:t>
      </w:r>
    </w:p>
    <w:p w14:paraId="4539F994" w14:textId="6880E4AA" w:rsidR="00D7499D" w:rsidRDefault="00D7499D" w:rsidP="00CE7397">
      <w:pPr>
        <w:jc w:val="both"/>
      </w:pPr>
      <w:r>
        <w:t>Jah, peenra laius formaalselt ei ole muutunud – kuid kui me põhjendame neid laiusi Rootsi või Soome praktikaga, siis ei saa rääkida teepeenral rehvi vahetamisest. Tugipeenrale selleks kindlasti minna ei saa, sest ka tungraud vajub sisse. Rootsis-Soomes tellitakse sellistel teedel turvasõiduk kohale ja selle tellimuse tasub kindlustus</w:t>
      </w:r>
      <w:r w:rsidR="00CB633E">
        <w:t xml:space="preserve"> (Ramuddeni pakutav teenus Eestis on tunnihinnaga 90...140€)</w:t>
      </w:r>
      <w:r>
        <w:t>. Alles siis võib kohapeal remonti teha kui töökoht on turvatud. Selline reeglistik tuleks ka meil kehtestada.</w:t>
      </w:r>
    </w:p>
    <w:p w14:paraId="4B6378A6" w14:textId="48BD5A42" w:rsidR="00D7499D" w:rsidRDefault="00D7499D" w:rsidP="00CE7397">
      <w:pPr>
        <w:jc w:val="both"/>
      </w:pPr>
      <w:r>
        <w:t xml:space="preserve">Teepeenra, ka kaetud peenra, kasutus – on </w:t>
      </w:r>
      <w:r w:rsidR="00CB633E">
        <w:t xml:space="preserve">LS järgi </w:t>
      </w:r>
      <w:r>
        <w:t xml:space="preserve">vaid avariilise peatumise jaoks. Ei ole eeldatud, et keegi peenral sõidaks. Kuigi praktikas ei ole see paha mõte kui aeglane ja mitte nii lai sõiduk </w:t>
      </w:r>
      <w:r w:rsidR="000A70B9">
        <w:t xml:space="preserve">(näiteks, neljarattaline mopeedauto) </w:t>
      </w:r>
      <w:r>
        <w:t>just selle 2</w:t>
      </w:r>
      <w:r w:rsidR="00236D59">
        <w:t>.</w:t>
      </w:r>
      <w:r>
        <w:t>5-meetrise ala peal liigub. Ka jalgratturile oleks see kindlasti parem koht kui sõidurada, sest vaid sellise laiuse puhul on võimalik ratturist mööduda jättes LS järgse 1</w:t>
      </w:r>
      <w:r w:rsidR="00236D59">
        <w:t>.</w:t>
      </w:r>
      <w:r>
        <w:t>5 meetrise vahe.</w:t>
      </w:r>
    </w:p>
    <w:p w14:paraId="576EF0E8" w14:textId="387B5468" w:rsidR="00D7499D" w:rsidRDefault="00D7499D" w:rsidP="00CE7397">
      <w:pPr>
        <w:jc w:val="both"/>
      </w:pPr>
      <w:r>
        <w:t>Aga probleem on selles, et selline 2</w:t>
      </w:r>
      <w:r w:rsidR="00236D59">
        <w:t>.</w:t>
      </w:r>
      <w:r>
        <w:t>5-3</w:t>
      </w:r>
      <w:r w:rsidR="00236D59">
        <w:t>.</w:t>
      </w:r>
      <w:r>
        <w:t xml:space="preserve">0 meetrine peenar ei ole ju tegelikult pidev, kogu tee pikkuses. Tartu maantee juhtumil eelnes avariikohale kitsendatud </w:t>
      </w:r>
      <w:r w:rsidR="00236D59">
        <w:t>teeosa</w:t>
      </w:r>
      <w:r>
        <w:t xml:space="preserve">, kuhu oli paigaldatud VMS-märkide sõrestik-konsool ning selle kaitseks piire. Mistõttu juht pidi igal juhul veidi edasi liikuma sest tegeliku rehvilagunemise kohal ei oleks ta ka peenrale mahtunud. Kas päästaks SOS-taskud? Teedel, kus palju raskesõidukeid, näiteks, vähemalt 500 rasket keskmiselt ööpäevas, igal kilomeetril kummaski suunas. Ja tasku pikkus peaks olema piisav et sinna mahuks avarist (täna valdav 16,5 m kuid tõenäoliselt varsti ka 25 m) koos </w:t>
      </w:r>
      <w:commentRangeStart w:id="9"/>
      <w:r>
        <w:t>abistajaga (</w:t>
      </w:r>
      <w:r w:rsidR="00CB633E">
        <w:t xml:space="preserve">lisaks </w:t>
      </w:r>
      <w:r>
        <w:t>9 m</w:t>
      </w:r>
      <w:commentRangeEnd w:id="9"/>
      <w:r w:rsidR="00C97769">
        <w:rPr>
          <w:rStyle w:val="CommentReference"/>
        </w:rPr>
        <w:commentReference w:id="9"/>
      </w:r>
      <w:r>
        <w:t>)</w:t>
      </w:r>
      <w:r w:rsidR="0000314C">
        <w:t xml:space="preserve"> ning laius piisav, et ka rehvivahetus ohutult õnnestuks</w:t>
      </w:r>
      <w:r>
        <w:t>.</w:t>
      </w:r>
    </w:p>
    <w:p w14:paraId="5DC8AEFB" w14:textId="7A4D43CB" w:rsidR="00D32FE0" w:rsidRDefault="00D32FE0" w:rsidP="00CE7397">
      <w:pPr>
        <w:jc w:val="both"/>
      </w:pPr>
      <w:r>
        <w:t>Tõsiasi, et teistel teedel (2+1 ja 1+1) on peenral ruumi veelgi vähem, viitab et ka siin oleks SOS-taskud adekvaatsed. 2+1 ristlõike peenar on 1</w:t>
      </w:r>
      <w:r w:rsidR="001076FC">
        <w:t>.</w:t>
      </w:r>
      <w:r>
        <w:t>0+0</w:t>
      </w:r>
      <w:r w:rsidR="001076FC">
        <w:t>.</w:t>
      </w:r>
      <w:r>
        <w:t>5</w:t>
      </w:r>
      <w:r w:rsidR="001076FC">
        <w:t>m</w:t>
      </w:r>
      <w:r>
        <w:t xml:space="preserve"> ja sama on ka 1+1 põhimaanteedel kiirusel vähemalt 80 km/h. Mujal sõltuvad nii sõiduraja laius kui peenra laiused kiirusest ja liiklussagedusest, rada 2,75...3,5</w:t>
      </w:r>
      <w:r w:rsidR="001076FC">
        <w:t>m</w:t>
      </w:r>
      <w:r>
        <w:t xml:space="preserve"> ja peenrad 0</w:t>
      </w:r>
      <w:r w:rsidR="001076FC">
        <w:t>.</w:t>
      </w:r>
      <w:r>
        <w:t>5+0</w:t>
      </w:r>
      <w:r w:rsidR="001076FC">
        <w:t>.</w:t>
      </w:r>
      <w:r>
        <w:t>5</w:t>
      </w:r>
      <w:r w:rsidR="001076FC">
        <w:t>m</w:t>
      </w:r>
      <w:r>
        <w:t xml:space="preserve"> või 1</w:t>
      </w:r>
      <w:r w:rsidR="001076FC">
        <w:t>.</w:t>
      </w:r>
      <w:r>
        <w:t>0+0</w:t>
      </w:r>
      <w:r w:rsidR="001076FC">
        <w:t>.</w:t>
      </w:r>
      <w:r>
        <w:t>5</w:t>
      </w:r>
      <w:r w:rsidR="001076FC">
        <w:t>m.</w:t>
      </w:r>
    </w:p>
    <w:p w14:paraId="2707D803" w14:textId="61E3E75D" w:rsidR="00D32FE0" w:rsidRDefault="00D32FE0" w:rsidP="00CE7397">
      <w:pPr>
        <w:jc w:val="both"/>
      </w:pPr>
      <w:r>
        <w:lastRenderedPageBreak/>
        <w:t>Ilmselt on probleem normitekstis ka peenralaiuse piirväärtuseks valitud 0</w:t>
      </w:r>
      <w:r w:rsidR="000C0750">
        <w:t>.</w:t>
      </w:r>
      <w:r>
        <w:t>75 m mis eeldaks, et ratturile on selline peenar piisavalt turvaline. Paraku sõltub ohutu möödasõidu või möödumise võimalus siingi liiklussagedusest ja sõiduraja enda laiusest.</w:t>
      </w:r>
      <w:r w:rsidR="006F6FBB">
        <w:t xml:space="preserve"> Ja samuti on selgelt konfliktis uutele teedele kehtestatud nõuded olemasoleva olukorraga võrreldes just kergliikluse kontekstis. Keskpiirdega teedel (kui piire on pikem kui 500 m) tuleb keelata kergliiklus ka teepeenral ja ette näha eraldatud kergliiklustee. Kahjuks on normis seostatud kergliiklustee vajadus kergliiklejate hulgaga ööpäevas, mis sarnaneb põhimõttega, et silla ehitame üle jõe alles siis kui jõe ületajate arv on piisavalt suur. Fakt on küll ka see, et teedel kus piirkiirus on üle 90 km/h, ei nähta üldse ette kergliiklust samas ristlõikes.</w:t>
      </w:r>
      <w:r w:rsidR="0000314C">
        <w:t xml:space="preserve"> Kergliikluse ruum peaks olema pidev, projekteerimisnorm aga kehtib vaid uutele projekteeritavatele teelõikudele – järelikult tuleks ka liiklusseadus nüüd normiga vastavusse viia.</w:t>
      </w:r>
    </w:p>
    <w:p w14:paraId="6089375F" w14:textId="4C2F7B60" w:rsidR="000A70B9" w:rsidRDefault="000A70B9" w:rsidP="000A70B9">
      <w:pPr>
        <w:pStyle w:val="Heading2"/>
      </w:pPr>
      <w:r>
        <w:t>Mida me teha saame?</w:t>
      </w:r>
    </w:p>
    <w:p w14:paraId="3B1A0B43" w14:textId="6C9BE502" w:rsidR="000A70B9" w:rsidRPr="000A70B9" w:rsidRDefault="000A70B9" w:rsidP="000A70B9">
      <w:r>
        <w:t>Tundub et kõige kiiremad võtted on juba kasutusele võetud. Ehk on liiklejate harimine täna see odavam ja kiirem viis liikluse ohutumaks muutmiseks. Senisest edust suur osa taandub sõidukitesse ja just siin on Eesti suguses väikeriigis võimalused kõige napimad. Eriti kui valitsus automaksu kaudu progressi pigem pidurdama on asunud. Teedega seonduv vajab aga palju raha ja aega, me oleme Euroopale antud lubadustest tugevalt maha jäänud ja ainsa vabandusena võib täna võtta vaid idanaabri sõjategevusi – sellega seonduvaid kaitseinvesteeringuid, mis on riigile eksistentsiaalse prioriteediga.</w:t>
      </w:r>
    </w:p>
    <w:p w14:paraId="6874FBAA" w14:textId="77777777" w:rsidR="004B06F7" w:rsidRPr="006759B4" w:rsidRDefault="004B06F7" w:rsidP="00CE7397">
      <w:pPr>
        <w:jc w:val="both"/>
      </w:pPr>
    </w:p>
    <w:p w14:paraId="627EA443" w14:textId="77777777" w:rsidR="008B0681" w:rsidRDefault="008B0681" w:rsidP="00CE7397">
      <w:pPr>
        <w:jc w:val="both"/>
      </w:pPr>
    </w:p>
    <w:p w14:paraId="2F77C620" w14:textId="77777777" w:rsidR="002D2BDD" w:rsidRPr="008C35A8" w:rsidRDefault="002D2BDD" w:rsidP="00CE7397">
      <w:pPr>
        <w:jc w:val="both"/>
      </w:pPr>
    </w:p>
    <w:p w14:paraId="25DFAE6B" w14:textId="77777777" w:rsidR="008C35A8" w:rsidRPr="008C35A8" w:rsidRDefault="008C35A8" w:rsidP="00CE7397">
      <w:pPr>
        <w:jc w:val="both"/>
      </w:pPr>
    </w:p>
    <w:p w14:paraId="6314F0D5" w14:textId="77777777" w:rsidR="005C3EAE" w:rsidRPr="008C35A8" w:rsidRDefault="005C3EAE" w:rsidP="00CE7397">
      <w:pPr>
        <w:jc w:val="both"/>
      </w:pPr>
    </w:p>
    <w:sectPr w:rsidR="005C3EAE" w:rsidRPr="008C35A8" w:rsidSect="00CE7397">
      <w:pgSz w:w="12240" w:h="15840"/>
      <w:pgMar w:top="1440" w:right="1608" w:bottom="1440"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imar Lukk" w:date="2025-08-14T08:32:00Z" w:initials="AL">
    <w:p w14:paraId="48F1FAE3" w14:textId="77777777" w:rsidR="00830347" w:rsidRDefault="00830347" w:rsidP="00830347">
      <w:pPr>
        <w:pStyle w:val="CommentText"/>
      </w:pPr>
      <w:r>
        <w:rPr>
          <w:rStyle w:val="CommentReference"/>
        </w:rPr>
        <w:annotationRef/>
      </w:r>
      <w:r>
        <w:t>Milleks tehakse kiirteid. Mille poolest nad erinevad tavateedest. Miks juhid hulluvad kiirteedel?</w:t>
      </w:r>
    </w:p>
  </w:comment>
  <w:comment w:id="1" w:author="Aimar Lukk" w:date="2025-08-14T08:36:00Z" w:initials="AL">
    <w:p w14:paraId="63FA160B" w14:textId="77777777" w:rsidR="007F5350" w:rsidRDefault="007F5350" w:rsidP="007F5350">
      <w:pPr>
        <w:pStyle w:val="CommentText"/>
      </w:pPr>
      <w:r>
        <w:rPr>
          <w:rStyle w:val="CommentReference"/>
        </w:rPr>
        <w:annotationRef/>
      </w:r>
      <w:r>
        <w:t>Ma jagaks avariid kaheks - juhi põhjustatud ja auto põhjustatud.</w:t>
      </w:r>
    </w:p>
  </w:comment>
  <w:comment w:id="2" w:author="Aimar Lukk" w:date="2025-08-14T08:39:00Z" w:initials="AL">
    <w:p w14:paraId="68A1E0EF" w14:textId="77777777" w:rsidR="007F5350" w:rsidRDefault="007F5350" w:rsidP="007F5350">
      <w:pPr>
        <w:pStyle w:val="CommentText"/>
      </w:pPr>
      <w:r>
        <w:rPr>
          <w:rStyle w:val="CommentReference"/>
        </w:rPr>
        <w:annotationRef/>
      </w:r>
      <w:r>
        <w:t>Miks varjatakse liiklusstatistikas vigastatute arvu. Sealt on lihtne tuletada EMO kulud raviks. Võib-olla siis saaab peaminister aru, et liiklusega on vaja tegeleda.</w:t>
      </w:r>
    </w:p>
  </w:comment>
  <w:comment w:id="3" w:author="Aimar Lukk" w:date="2025-08-14T08:41:00Z" w:initials="AL">
    <w:p w14:paraId="4F90F67C" w14:textId="77777777" w:rsidR="007F5350" w:rsidRDefault="007F5350" w:rsidP="007F5350">
      <w:pPr>
        <w:pStyle w:val="CommentText"/>
      </w:pPr>
      <w:r>
        <w:rPr>
          <w:rStyle w:val="CommentReference"/>
        </w:rPr>
        <w:annotationRef/>
      </w:r>
      <w:r>
        <w:t>Statistika on olemas. TRAM, kuid miks järeldusi ei teha.</w:t>
      </w:r>
    </w:p>
  </w:comment>
  <w:comment w:id="4" w:author="Aimar Lukk" w:date="2025-08-14T08:41:00Z" w:initials="AL">
    <w:p w14:paraId="4651C964" w14:textId="77777777" w:rsidR="007F5350" w:rsidRDefault="007F5350" w:rsidP="007F5350">
      <w:pPr>
        <w:pStyle w:val="CommentText"/>
      </w:pPr>
      <w:r>
        <w:rPr>
          <w:rStyle w:val="CommentReference"/>
        </w:rPr>
        <w:annotationRef/>
      </w:r>
      <w:r>
        <w:t>Miks pole rakendatud veapunkti süsteem!</w:t>
      </w:r>
    </w:p>
  </w:comment>
  <w:comment w:id="5" w:author="Aimar Lukk" w:date="2025-08-14T08:43:00Z" w:initials="AL">
    <w:p w14:paraId="3CC8F208" w14:textId="77777777" w:rsidR="007F5350" w:rsidRDefault="007F5350" w:rsidP="007F5350">
      <w:pPr>
        <w:pStyle w:val="CommentText"/>
      </w:pPr>
      <w:r>
        <w:rPr>
          <w:rStyle w:val="CommentReference"/>
        </w:rPr>
        <w:annotationRef/>
      </w:r>
      <w:r>
        <w:t>Siin rakendub kaasaegne tehnika, kord aitab, paljus segab . Ja mitte auto IT vaid teised juhid.</w:t>
      </w:r>
    </w:p>
  </w:comment>
  <w:comment w:id="6" w:author="Aimar Lukk" w:date="2025-08-14T08:45:00Z" w:initials="AL">
    <w:p w14:paraId="53971228" w14:textId="77777777" w:rsidR="00C97769" w:rsidRDefault="00C97769" w:rsidP="00C97769">
      <w:pPr>
        <w:pStyle w:val="CommentText"/>
      </w:pPr>
      <w:r>
        <w:rPr>
          <w:rStyle w:val="CommentReference"/>
        </w:rPr>
        <w:annotationRef/>
      </w:r>
      <w:r>
        <w:t>See on linnaliikluse teema noortel ja tibidel. Kiirteedel võib igavusest magama jääda.</w:t>
      </w:r>
    </w:p>
  </w:comment>
  <w:comment w:id="7" w:author="Aimar Lukk" w:date="2025-08-14T08:47:00Z" w:initials="AL">
    <w:p w14:paraId="28D88134" w14:textId="77777777" w:rsidR="00C97769" w:rsidRDefault="00C97769" w:rsidP="00C97769">
      <w:pPr>
        <w:pStyle w:val="CommentText"/>
      </w:pPr>
      <w:r>
        <w:rPr>
          <w:rStyle w:val="CommentReference"/>
        </w:rPr>
        <w:annotationRef/>
      </w:r>
      <w:r>
        <w:t>IT on palju, kas juhid oskavad neid kasutada?. BMW pannide juhtidel pole neid kasutada.</w:t>
      </w:r>
    </w:p>
  </w:comment>
  <w:comment w:id="8" w:author="Aimar Lukk" w:date="2025-08-14T08:48:00Z" w:initials="AL">
    <w:p w14:paraId="25D869C3" w14:textId="77777777" w:rsidR="00C97769" w:rsidRDefault="00C97769" w:rsidP="00C97769">
      <w:pPr>
        <w:pStyle w:val="CommentText"/>
      </w:pPr>
      <w:r>
        <w:rPr>
          <w:rStyle w:val="CommentReference"/>
        </w:rPr>
        <w:annotationRef/>
      </w:r>
      <w:r>
        <w:t xml:space="preserve">Tundide kaupa liikumatult istuda….. Piduri pedaaali jalg kuhu Ain liigub. </w:t>
      </w:r>
    </w:p>
  </w:comment>
  <w:comment w:id="9" w:author="Aimar Lukk" w:date="2025-08-14T08:49:00Z" w:initials="AL">
    <w:p w14:paraId="3FCF7BC1" w14:textId="77777777" w:rsidR="00C97769" w:rsidRDefault="00C97769" w:rsidP="00C97769">
      <w:pPr>
        <w:pStyle w:val="CommentText"/>
      </w:pPr>
      <w:r>
        <w:rPr>
          <w:rStyle w:val="CommentReference"/>
        </w:rPr>
        <w:annotationRef/>
      </w:r>
      <w:r>
        <w:t>Mille või kellega on täidetud Pärnu mnt taskud tagasipöördeks?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F1FAE3" w15:done="0"/>
  <w15:commentEx w15:paraId="63FA160B" w15:done="0"/>
  <w15:commentEx w15:paraId="68A1E0EF" w15:done="0"/>
  <w15:commentEx w15:paraId="4F90F67C" w15:done="0"/>
  <w15:commentEx w15:paraId="4651C964" w15:done="0"/>
  <w15:commentEx w15:paraId="3CC8F208" w15:done="0"/>
  <w15:commentEx w15:paraId="53971228" w15:done="0"/>
  <w15:commentEx w15:paraId="28D88134" w15:done="0"/>
  <w15:commentEx w15:paraId="25D869C3" w15:done="0"/>
  <w15:commentEx w15:paraId="3FCF7B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30FAAA" w16cex:dateUtc="2025-08-14T05:32:00Z"/>
  <w16cex:commentExtensible w16cex:durableId="44689067" w16cex:dateUtc="2025-08-14T05:36:00Z"/>
  <w16cex:commentExtensible w16cex:durableId="6DB75568" w16cex:dateUtc="2025-08-14T05:39:00Z"/>
  <w16cex:commentExtensible w16cex:durableId="5A8CD67E" w16cex:dateUtc="2025-08-14T05:41:00Z"/>
  <w16cex:commentExtensible w16cex:durableId="600E75E9" w16cex:dateUtc="2025-08-14T05:41:00Z"/>
  <w16cex:commentExtensible w16cex:durableId="74B4D90E" w16cex:dateUtc="2025-08-14T05:43:00Z"/>
  <w16cex:commentExtensible w16cex:durableId="57D6A083" w16cex:dateUtc="2025-08-14T05:45:00Z"/>
  <w16cex:commentExtensible w16cex:durableId="66050853" w16cex:dateUtc="2025-08-14T05:47:00Z"/>
  <w16cex:commentExtensible w16cex:durableId="091B788F" w16cex:dateUtc="2025-08-14T05:48:00Z"/>
  <w16cex:commentExtensible w16cex:durableId="76980E00" w16cex:dateUtc="2025-08-14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F1FAE3" w16cid:durableId="5B30FAAA"/>
  <w16cid:commentId w16cid:paraId="63FA160B" w16cid:durableId="44689067"/>
  <w16cid:commentId w16cid:paraId="68A1E0EF" w16cid:durableId="6DB75568"/>
  <w16cid:commentId w16cid:paraId="4F90F67C" w16cid:durableId="5A8CD67E"/>
  <w16cid:commentId w16cid:paraId="4651C964" w16cid:durableId="600E75E9"/>
  <w16cid:commentId w16cid:paraId="3CC8F208" w16cid:durableId="74B4D90E"/>
  <w16cid:commentId w16cid:paraId="53971228" w16cid:durableId="57D6A083"/>
  <w16cid:commentId w16cid:paraId="28D88134" w16cid:durableId="66050853"/>
  <w16cid:commentId w16cid:paraId="25D869C3" w16cid:durableId="091B788F"/>
  <w16cid:commentId w16cid:paraId="3FCF7BC1" w16cid:durableId="76980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1A736" w14:textId="77777777" w:rsidR="00F45D9E" w:rsidRDefault="00F45D9E" w:rsidP="00BF0852">
      <w:pPr>
        <w:spacing w:after="0" w:line="240" w:lineRule="auto"/>
      </w:pPr>
      <w:r>
        <w:separator/>
      </w:r>
    </w:p>
  </w:endnote>
  <w:endnote w:type="continuationSeparator" w:id="0">
    <w:p w14:paraId="556CB55D" w14:textId="77777777" w:rsidR="00F45D9E" w:rsidRDefault="00F45D9E" w:rsidP="00BF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7EE86" w14:textId="77777777" w:rsidR="00F45D9E" w:rsidRDefault="00F45D9E" w:rsidP="00BF0852">
      <w:pPr>
        <w:spacing w:after="0" w:line="240" w:lineRule="auto"/>
      </w:pPr>
      <w:r>
        <w:separator/>
      </w:r>
    </w:p>
  </w:footnote>
  <w:footnote w:type="continuationSeparator" w:id="0">
    <w:p w14:paraId="3F093747" w14:textId="77777777" w:rsidR="00F45D9E" w:rsidRDefault="00F45D9E" w:rsidP="00BF0852">
      <w:pPr>
        <w:spacing w:after="0" w:line="240" w:lineRule="auto"/>
      </w:pPr>
      <w:r>
        <w:continuationSeparator/>
      </w:r>
    </w:p>
  </w:footnote>
  <w:footnote w:id="1">
    <w:p w14:paraId="4EB1FAFA" w14:textId="3B65464E" w:rsidR="00BF0852" w:rsidRPr="00BF0852" w:rsidRDefault="00BF0852">
      <w:pPr>
        <w:pStyle w:val="FootnoteText"/>
        <w:rPr>
          <w:lang w:val="en-US"/>
        </w:rPr>
      </w:pPr>
      <w:r>
        <w:rPr>
          <w:rStyle w:val="FootnoteReference"/>
        </w:rPr>
        <w:footnoteRef/>
      </w:r>
      <w:r>
        <w:t xml:space="preserve"> </w:t>
      </w:r>
      <w:r w:rsidRPr="00BF0852">
        <w:t>https://road-safety.transport.ec.europa.eu/system/files/2023-04/MAIS3%2B_Use.pdf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26A06"/>
    <w:multiLevelType w:val="hybridMultilevel"/>
    <w:tmpl w:val="1312F7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5F966AB"/>
    <w:multiLevelType w:val="hybridMultilevel"/>
    <w:tmpl w:val="FF82BDDE"/>
    <w:lvl w:ilvl="0" w:tplc="CE04213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00A90"/>
    <w:multiLevelType w:val="hybridMultilevel"/>
    <w:tmpl w:val="93826084"/>
    <w:lvl w:ilvl="0" w:tplc="4C5235E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30B9E"/>
    <w:multiLevelType w:val="hybridMultilevel"/>
    <w:tmpl w:val="1312F7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4544300">
    <w:abstractNumId w:val="1"/>
  </w:num>
  <w:num w:numId="2" w16cid:durableId="691881842">
    <w:abstractNumId w:val="2"/>
  </w:num>
  <w:num w:numId="3" w16cid:durableId="845556892">
    <w:abstractNumId w:val="0"/>
  </w:num>
  <w:num w:numId="4" w16cid:durableId="17644936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mar Lukk">
    <w15:presenceInfo w15:providerId="Windows Live" w15:userId="ca42d664870cd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AE"/>
    <w:rsid w:val="000002AD"/>
    <w:rsid w:val="0000314C"/>
    <w:rsid w:val="00016276"/>
    <w:rsid w:val="0001780A"/>
    <w:rsid w:val="000469A9"/>
    <w:rsid w:val="000550C4"/>
    <w:rsid w:val="0009520E"/>
    <w:rsid w:val="000A6B80"/>
    <w:rsid w:val="000A70B9"/>
    <w:rsid w:val="000C0750"/>
    <w:rsid w:val="000D6C18"/>
    <w:rsid w:val="000E7CE0"/>
    <w:rsid w:val="00104FF1"/>
    <w:rsid w:val="001076FC"/>
    <w:rsid w:val="00127E67"/>
    <w:rsid w:val="0013443B"/>
    <w:rsid w:val="001C35A1"/>
    <w:rsid w:val="001F6329"/>
    <w:rsid w:val="00221BCF"/>
    <w:rsid w:val="00236D59"/>
    <w:rsid w:val="00247CD6"/>
    <w:rsid w:val="002523AE"/>
    <w:rsid w:val="002622B0"/>
    <w:rsid w:val="002857FB"/>
    <w:rsid w:val="002A016B"/>
    <w:rsid w:val="002B1E3C"/>
    <w:rsid w:val="002C17F9"/>
    <w:rsid w:val="002C3EE5"/>
    <w:rsid w:val="002D2BDD"/>
    <w:rsid w:val="002D346E"/>
    <w:rsid w:val="002E76A8"/>
    <w:rsid w:val="002F7987"/>
    <w:rsid w:val="00310E5B"/>
    <w:rsid w:val="00321D2D"/>
    <w:rsid w:val="003241AD"/>
    <w:rsid w:val="00335290"/>
    <w:rsid w:val="0034502D"/>
    <w:rsid w:val="003474D5"/>
    <w:rsid w:val="00364A1B"/>
    <w:rsid w:val="00386291"/>
    <w:rsid w:val="00394C72"/>
    <w:rsid w:val="003D42F6"/>
    <w:rsid w:val="00406ECB"/>
    <w:rsid w:val="00420BBD"/>
    <w:rsid w:val="00421007"/>
    <w:rsid w:val="00441AF6"/>
    <w:rsid w:val="00444918"/>
    <w:rsid w:val="00446141"/>
    <w:rsid w:val="00473FE5"/>
    <w:rsid w:val="004A042F"/>
    <w:rsid w:val="004A0A0A"/>
    <w:rsid w:val="004B06F7"/>
    <w:rsid w:val="004B1D8C"/>
    <w:rsid w:val="004D6EE8"/>
    <w:rsid w:val="004F3FC2"/>
    <w:rsid w:val="00512DF0"/>
    <w:rsid w:val="005650D8"/>
    <w:rsid w:val="005B706F"/>
    <w:rsid w:val="005C3EAE"/>
    <w:rsid w:val="00606D0E"/>
    <w:rsid w:val="00634FB0"/>
    <w:rsid w:val="006438A0"/>
    <w:rsid w:val="0065019E"/>
    <w:rsid w:val="00672ED4"/>
    <w:rsid w:val="00673422"/>
    <w:rsid w:val="006759B4"/>
    <w:rsid w:val="00687624"/>
    <w:rsid w:val="0069653B"/>
    <w:rsid w:val="006A0CE6"/>
    <w:rsid w:val="006A521B"/>
    <w:rsid w:val="006B15E4"/>
    <w:rsid w:val="006D2363"/>
    <w:rsid w:val="006D334C"/>
    <w:rsid w:val="006E249C"/>
    <w:rsid w:val="006E3883"/>
    <w:rsid w:val="006F5BBC"/>
    <w:rsid w:val="006F6FBB"/>
    <w:rsid w:val="007054BA"/>
    <w:rsid w:val="00733458"/>
    <w:rsid w:val="00764E45"/>
    <w:rsid w:val="007764FA"/>
    <w:rsid w:val="007B30F8"/>
    <w:rsid w:val="007C4AB9"/>
    <w:rsid w:val="007C59EA"/>
    <w:rsid w:val="007F3DD1"/>
    <w:rsid w:val="007F5350"/>
    <w:rsid w:val="007F5DDC"/>
    <w:rsid w:val="008061A8"/>
    <w:rsid w:val="00830347"/>
    <w:rsid w:val="00833DAE"/>
    <w:rsid w:val="0084646A"/>
    <w:rsid w:val="008725CF"/>
    <w:rsid w:val="0089790C"/>
    <w:rsid w:val="008A2478"/>
    <w:rsid w:val="008A39F8"/>
    <w:rsid w:val="008B0681"/>
    <w:rsid w:val="008C35A8"/>
    <w:rsid w:val="008E7222"/>
    <w:rsid w:val="00900AE1"/>
    <w:rsid w:val="00904384"/>
    <w:rsid w:val="00954D31"/>
    <w:rsid w:val="00963304"/>
    <w:rsid w:val="00981C10"/>
    <w:rsid w:val="009A38F7"/>
    <w:rsid w:val="009D129E"/>
    <w:rsid w:val="009D76A0"/>
    <w:rsid w:val="009E3998"/>
    <w:rsid w:val="009E45C4"/>
    <w:rsid w:val="009F4305"/>
    <w:rsid w:val="009F746B"/>
    <w:rsid w:val="00A018AC"/>
    <w:rsid w:val="00A45C6A"/>
    <w:rsid w:val="00A83BEB"/>
    <w:rsid w:val="00A90D65"/>
    <w:rsid w:val="00A90F86"/>
    <w:rsid w:val="00A92856"/>
    <w:rsid w:val="00AB4DF8"/>
    <w:rsid w:val="00AF622F"/>
    <w:rsid w:val="00B04D3C"/>
    <w:rsid w:val="00B25C04"/>
    <w:rsid w:val="00B572F8"/>
    <w:rsid w:val="00B708BA"/>
    <w:rsid w:val="00B816B9"/>
    <w:rsid w:val="00B844A3"/>
    <w:rsid w:val="00B85BFC"/>
    <w:rsid w:val="00BB20D7"/>
    <w:rsid w:val="00BC0D2F"/>
    <w:rsid w:val="00BC5C0C"/>
    <w:rsid w:val="00BD68A0"/>
    <w:rsid w:val="00BE55F1"/>
    <w:rsid w:val="00BF0852"/>
    <w:rsid w:val="00C02EC0"/>
    <w:rsid w:val="00C11490"/>
    <w:rsid w:val="00C2301E"/>
    <w:rsid w:val="00C3074E"/>
    <w:rsid w:val="00C553DF"/>
    <w:rsid w:val="00C63D0C"/>
    <w:rsid w:val="00C6412F"/>
    <w:rsid w:val="00C72D6C"/>
    <w:rsid w:val="00C87451"/>
    <w:rsid w:val="00C97769"/>
    <w:rsid w:val="00CA4D41"/>
    <w:rsid w:val="00CB633E"/>
    <w:rsid w:val="00CE7397"/>
    <w:rsid w:val="00CF05C0"/>
    <w:rsid w:val="00CF17D4"/>
    <w:rsid w:val="00D077C3"/>
    <w:rsid w:val="00D25CAB"/>
    <w:rsid w:val="00D32FE0"/>
    <w:rsid w:val="00D6355D"/>
    <w:rsid w:val="00D7499D"/>
    <w:rsid w:val="00DB5AD2"/>
    <w:rsid w:val="00DC3D3B"/>
    <w:rsid w:val="00DE44D3"/>
    <w:rsid w:val="00DE521D"/>
    <w:rsid w:val="00DE67D1"/>
    <w:rsid w:val="00E21BEA"/>
    <w:rsid w:val="00E5364B"/>
    <w:rsid w:val="00E903A1"/>
    <w:rsid w:val="00EA5457"/>
    <w:rsid w:val="00EA7F2E"/>
    <w:rsid w:val="00EB201D"/>
    <w:rsid w:val="00ED2DE6"/>
    <w:rsid w:val="00EE1D9E"/>
    <w:rsid w:val="00EE2F15"/>
    <w:rsid w:val="00EE6B79"/>
    <w:rsid w:val="00F02B6E"/>
    <w:rsid w:val="00F05D85"/>
    <w:rsid w:val="00F068B4"/>
    <w:rsid w:val="00F30F9D"/>
    <w:rsid w:val="00F365AD"/>
    <w:rsid w:val="00F45D9E"/>
    <w:rsid w:val="00F955BF"/>
    <w:rsid w:val="00FB131F"/>
    <w:rsid w:val="00FB7ACB"/>
    <w:rsid w:val="00FD2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1C5F"/>
  <w15:chartTrackingRefBased/>
  <w15:docId w15:val="{B37B86D0-319F-4DF5-B04B-700D0D29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5C3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3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EAE"/>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rsid w:val="005C3EAE"/>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5C3EAE"/>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5C3EAE"/>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5C3EAE"/>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5C3EAE"/>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5C3EAE"/>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5C3EAE"/>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5C3EAE"/>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5C3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EAE"/>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5C3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EAE"/>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5C3EAE"/>
    <w:pPr>
      <w:spacing w:before="160"/>
      <w:jc w:val="center"/>
    </w:pPr>
    <w:rPr>
      <w:i/>
      <w:iCs/>
      <w:color w:val="404040" w:themeColor="text1" w:themeTint="BF"/>
    </w:rPr>
  </w:style>
  <w:style w:type="character" w:customStyle="1" w:styleId="QuoteChar">
    <w:name w:val="Quote Char"/>
    <w:basedOn w:val="DefaultParagraphFont"/>
    <w:link w:val="Quote"/>
    <w:uiPriority w:val="29"/>
    <w:rsid w:val="005C3EAE"/>
    <w:rPr>
      <w:i/>
      <w:iCs/>
      <w:color w:val="404040" w:themeColor="text1" w:themeTint="BF"/>
      <w:lang w:val="et-EE"/>
    </w:rPr>
  </w:style>
  <w:style w:type="paragraph" w:styleId="ListParagraph">
    <w:name w:val="List Paragraph"/>
    <w:basedOn w:val="Normal"/>
    <w:uiPriority w:val="34"/>
    <w:qFormat/>
    <w:rsid w:val="005C3EAE"/>
    <w:pPr>
      <w:ind w:left="720"/>
      <w:contextualSpacing/>
    </w:pPr>
  </w:style>
  <w:style w:type="character" w:styleId="IntenseEmphasis">
    <w:name w:val="Intense Emphasis"/>
    <w:basedOn w:val="DefaultParagraphFont"/>
    <w:uiPriority w:val="21"/>
    <w:qFormat/>
    <w:rsid w:val="005C3EAE"/>
    <w:rPr>
      <w:i/>
      <w:iCs/>
      <w:color w:val="0F4761" w:themeColor="accent1" w:themeShade="BF"/>
    </w:rPr>
  </w:style>
  <w:style w:type="paragraph" w:styleId="IntenseQuote">
    <w:name w:val="Intense Quote"/>
    <w:basedOn w:val="Normal"/>
    <w:next w:val="Normal"/>
    <w:link w:val="IntenseQuoteChar"/>
    <w:uiPriority w:val="30"/>
    <w:qFormat/>
    <w:rsid w:val="005C3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EAE"/>
    <w:rPr>
      <w:i/>
      <w:iCs/>
      <w:color w:val="0F4761" w:themeColor="accent1" w:themeShade="BF"/>
      <w:lang w:val="et-EE"/>
    </w:rPr>
  </w:style>
  <w:style w:type="character" w:styleId="IntenseReference">
    <w:name w:val="Intense Reference"/>
    <w:basedOn w:val="DefaultParagraphFont"/>
    <w:uiPriority w:val="32"/>
    <w:qFormat/>
    <w:rsid w:val="005C3EAE"/>
    <w:rPr>
      <w:b/>
      <w:bCs/>
      <w:smallCaps/>
      <w:color w:val="0F4761" w:themeColor="accent1" w:themeShade="BF"/>
      <w:spacing w:val="5"/>
    </w:rPr>
  </w:style>
  <w:style w:type="paragraph" w:styleId="FootnoteText">
    <w:name w:val="footnote text"/>
    <w:basedOn w:val="Normal"/>
    <w:link w:val="FootnoteTextChar"/>
    <w:uiPriority w:val="99"/>
    <w:semiHidden/>
    <w:unhideWhenUsed/>
    <w:rsid w:val="00BF0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852"/>
    <w:rPr>
      <w:sz w:val="20"/>
      <w:szCs w:val="20"/>
      <w:lang w:val="et-EE"/>
    </w:rPr>
  </w:style>
  <w:style w:type="character" w:styleId="FootnoteReference">
    <w:name w:val="footnote reference"/>
    <w:basedOn w:val="DefaultParagraphFont"/>
    <w:uiPriority w:val="99"/>
    <w:semiHidden/>
    <w:unhideWhenUsed/>
    <w:rsid w:val="00BF0852"/>
    <w:rPr>
      <w:vertAlign w:val="superscript"/>
    </w:rPr>
  </w:style>
  <w:style w:type="character" w:styleId="Hyperlink">
    <w:name w:val="Hyperlink"/>
    <w:basedOn w:val="DefaultParagraphFont"/>
    <w:uiPriority w:val="99"/>
    <w:unhideWhenUsed/>
    <w:rsid w:val="00BF0852"/>
    <w:rPr>
      <w:color w:val="467886" w:themeColor="hyperlink"/>
      <w:u w:val="single"/>
    </w:rPr>
  </w:style>
  <w:style w:type="character" w:styleId="UnresolvedMention">
    <w:name w:val="Unresolved Mention"/>
    <w:basedOn w:val="DefaultParagraphFont"/>
    <w:uiPriority w:val="99"/>
    <w:semiHidden/>
    <w:unhideWhenUsed/>
    <w:rsid w:val="00BF0852"/>
    <w:rPr>
      <w:color w:val="605E5C"/>
      <w:shd w:val="clear" w:color="auto" w:fill="E1DFDD"/>
    </w:rPr>
  </w:style>
  <w:style w:type="paragraph" w:styleId="Revision">
    <w:name w:val="Revision"/>
    <w:hidden/>
    <w:uiPriority w:val="99"/>
    <w:semiHidden/>
    <w:rsid w:val="00CE7397"/>
    <w:pPr>
      <w:spacing w:after="0" w:line="240" w:lineRule="auto"/>
    </w:pPr>
    <w:rPr>
      <w:lang w:val="et-EE"/>
    </w:rPr>
  </w:style>
  <w:style w:type="character" w:styleId="CommentReference">
    <w:name w:val="annotation reference"/>
    <w:basedOn w:val="DefaultParagraphFont"/>
    <w:uiPriority w:val="99"/>
    <w:semiHidden/>
    <w:unhideWhenUsed/>
    <w:rsid w:val="00CE7397"/>
    <w:rPr>
      <w:sz w:val="16"/>
      <w:szCs w:val="16"/>
    </w:rPr>
  </w:style>
  <w:style w:type="paragraph" w:styleId="CommentText">
    <w:name w:val="annotation text"/>
    <w:basedOn w:val="Normal"/>
    <w:link w:val="CommentTextChar"/>
    <w:uiPriority w:val="99"/>
    <w:unhideWhenUsed/>
    <w:rsid w:val="00CE7397"/>
    <w:pPr>
      <w:spacing w:line="240" w:lineRule="auto"/>
    </w:pPr>
    <w:rPr>
      <w:sz w:val="20"/>
      <w:szCs w:val="20"/>
    </w:rPr>
  </w:style>
  <w:style w:type="character" w:customStyle="1" w:styleId="CommentTextChar">
    <w:name w:val="Comment Text Char"/>
    <w:basedOn w:val="DefaultParagraphFont"/>
    <w:link w:val="CommentText"/>
    <w:uiPriority w:val="99"/>
    <w:rsid w:val="00CE7397"/>
    <w:rPr>
      <w:sz w:val="20"/>
      <w:szCs w:val="20"/>
      <w:lang w:val="et-EE"/>
    </w:rPr>
  </w:style>
  <w:style w:type="paragraph" w:styleId="CommentSubject">
    <w:name w:val="annotation subject"/>
    <w:basedOn w:val="CommentText"/>
    <w:next w:val="CommentText"/>
    <w:link w:val="CommentSubjectChar"/>
    <w:uiPriority w:val="99"/>
    <w:semiHidden/>
    <w:unhideWhenUsed/>
    <w:rsid w:val="00CE7397"/>
    <w:rPr>
      <w:b/>
      <w:bCs/>
    </w:rPr>
  </w:style>
  <w:style w:type="character" w:customStyle="1" w:styleId="CommentSubjectChar">
    <w:name w:val="Comment Subject Char"/>
    <w:basedOn w:val="CommentTextChar"/>
    <w:link w:val="CommentSubject"/>
    <w:uiPriority w:val="99"/>
    <w:semiHidden/>
    <w:rsid w:val="00CE7397"/>
    <w:rPr>
      <w:b/>
      <w:bCs/>
      <w:sz w:val="20"/>
      <w:szCs w:val="20"/>
      <w:lang w:val="et-EE"/>
    </w:rPr>
  </w:style>
  <w:style w:type="table" w:styleId="TableGrid">
    <w:name w:val="Table Grid"/>
    <w:basedOn w:val="TableNormal"/>
    <w:uiPriority w:val="39"/>
    <w:rsid w:val="0001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inke\AppData\Roaming\Microsoft\Excel\Book1%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Eesti liikluses avariid,</a:t>
            </a:r>
            <a:r>
              <a:rPr lang="en-US" baseline="0"/>
              <a:t> vigastatud ja hukkunud</a:t>
            </a:r>
          </a:p>
          <a:p>
            <a:pPr>
              <a:defRPr/>
            </a:pPr>
            <a:r>
              <a:rPr lang="en-US" sz="1100" baseline="0"/>
              <a:t>hukkunud (punane joon) toodud parempoolsel teljel</a:t>
            </a:r>
            <a:endParaRPr lang="en-US"/>
          </a:p>
        </c:rich>
      </c:tx>
      <c:layout>
        <c:manualLayout>
          <c:xMode val="edge"/>
          <c:yMode val="edge"/>
          <c:x val="0.1423333333333333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A!$B$3</c:f>
              <c:strCache>
                <c:ptCount val="1"/>
                <c:pt idx="0">
                  <c:v>Case</c:v>
                </c:pt>
              </c:strCache>
            </c:strRef>
          </c:tx>
          <c:spPr>
            <a:ln w="28575" cap="rnd">
              <a:solidFill>
                <a:schemeClr val="accent6">
                  <a:lumMod val="60000"/>
                  <a:lumOff val="40000"/>
                </a:schemeClr>
              </a:solidFill>
              <a:round/>
            </a:ln>
            <a:effectLst/>
          </c:spPr>
          <c:marker>
            <c:symbol val="none"/>
          </c:marker>
          <c:cat>
            <c:numRef>
              <c:f>A!$A$4:$A$17</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A!$B$4:$B$17</c:f>
              <c:numCache>
                <c:formatCode>General</c:formatCode>
                <c:ptCount val="14"/>
                <c:pt idx="0">
                  <c:v>1449</c:v>
                </c:pt>
                <c:pt idx="1">
                  <c:v>1358</c:v>
                </c:pt>
                <c:pt idx="2">
                  <c:v>1362</c:v>
                </c:pt>
                <c:pt idx="3">
                  <c:v>1404</c:v>
                </c:pt>
                <c:pt idx="4">
                  <c:v>1374</c:v>
                </c:pt>
                <c:pt idx="5">
                  <c:v>1464</c:v>
                </c:pt>
                <c:pt idx="6">
                  <c:v>1414</c:v>
                </c:pt>
                <c:pt idx="7">
                  <c:v>1473</c:v>
                </c:pt>
                <c:pt idx="8">
                  <c:v>1439</c:v>
                </c:pt>
                <c:pt idx="9">
                  <c:v>1406</c:v>
                </c:pt>
                <c:pt idx="10">
                  <c:v>1572</c:v>
                </c:pt>
                <c:pt idx="11">
                  <c:v>1698</c:v>
                </c:pt>
                <c:pt idx="12">
                  <c:v>1724</c:v>
                </c:pt>
                <c:pt idx="13">
                  <c:v>1921</c:v>
                </c:pt>
              </c:numCache>
            </c:numRef>
          </c:val>
          <c:smooth val="0"/>
          <c:extLst>
            <c:ext xmlns:c16="http://schemas.microsoft.com/office/drawing/2014/chart" uri="{C3380CC4-5D6E-409C-BE32-E72D297353CC}">
              <c16:uniqueId val="{00000000-3F3A-46B8-B8E8-758EE797018A}"/>
            </c:ext>
          </c:extLst>
        </c:ser>
        <c:ser>
          <c:idx val="2"/>
          <c:order val="2"/>
          <c:tx>
            <c:strRef>
              <c:f>A!$D$3</c:f>
              <c:strCache>
                <c:ptCount val="1"/>
                <c:pt idx="0">
                  <c:v>V</c:v>
                </c:pt>
              </c:strCache>
            </c:strRef>
          </c:tx>
          <c:spPr>
            <a:ln w="28575" cap="rnd">
              <a:solidFill>
                <a:schemeClr val="accent5">
                  <a:lumMod val="60000"/>
                  <a:lumOff val="40000"/>
                </a:schemeClr>
              </a:solidFill>
              <a:round/>
            </a:ln>
            <a:effectLst/>
          </c:spPr>
          <c:marker>
            <c:symbol val="none"/>
          </c:marker>
          <c:cat>
            <c:numRef>
              <c:f>A!$A$4:$A$17</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A!$D$4:$D$17</c:f>
              <c:numCache>
                <c:formatCode>General</c:formatCode>
                <c:ptCount val="14"/>
                <c:pt idx="0">
                  <c:v>2028</c:v>
                </c:pt>
                <c:pt idx="1">
                  <c:v>1940</c:v>
                </c:pt>
                <c:pt idx="2">
                  <c:v>1953</c:v>
                </c:pt>
                <c:pt idx="3">
                  <c:v>2127</c:v>
                </c:pt>
                <c:pt idx="4">
                  <c:v>2065</c:v>
                </c:pt>
                <c:pt idx="5">
                  <c:v>2328</c:v>
                </c:pt>
                <c:pt idx="6">
                  <c:v>2186</c:v>
                </c:pt>
                <c:pt idx="7">
                  <c:v>2367</c:v>
                </c:pt>
                <c:pt idx="8">
                  <c:v>2198</c:v>
                </c:pt>
                <c:pt idx="9">
                  <c:v>2020</c:v>
                </c:pt>
                <c:pt idx="10">
                  <c:v>2267</c:v>
                </c:pt>
                <c:pt idx="11">
                  <c:v>2428</c:v>
                </c:pt>
                <c:pt idx="12">
                  <c:v>2486</c:v>
                </c:pt>
                <c:pt idx="13">
                  <c:v>2687</c:v>
                </c:pt>
              </c:numCache>
            </c:numRef>
          </c:val>
          <c:smooth val="0"/>
          <c:extLst>
            <c:ext xmlns:c16="http://schemas.microsoft.com/office/drawing/2014/chart" uri="{C3380CC4-5D6E-409C-BE32-E72D297353CC}">
              <c16:uniqueId val="{00000001-3F3A-46B8-B8E8-758EE797018A}"/>
            </c:ext>
          </c:extLst>
        </c:ser>
        <c:dLbls>
          <c:showLegendKey val="0"/>
          <c:showVal val="0"/>
          <c:showCatName val="0"/>
          <c:showSerName val="0"/>
          <c:showPercent val="0"/>
          <c:showBubbleSize val="0"/>
        </c:dLbls>
        <c:marker val="1"/>
        <c:smooth val="0"/>
        <c:axId val="561471647"/>
        <c:axId val="561475487"/>
      </c:lineChart>
      <c:lineChart>
        <c:grouping val="standard"/>
        <c:varyColors val="0"/>
        <c:ser>
          <c:idx val="1"/>
          <c:order val="1"/>
          <c:tx>
            <c:strRef>
              <c:f>A!$C$3</c:f>
              <c:strCache>
                <c:ptCount val="1"/>
                <c:pt idx="0">
                  <c:v>H</c:v>
                </c:pt>
              </c:strCache>
            </c:strRef>
          </c:tx>
          <c:spPr>
            <a:ln w="28575" cap="rnd">
              <a:solidFill>
                <a:srgbClr val="FF0000"/>
              </a:solidFill>
              <a:round/>
            </a:ln>
            <a:effectLst/>
          </c:spPr>
          <c:marker>
            <c:symbol val="none"/>
          </c:marker>
          <c:cat>
            <c:numRef>
              <c:f>A!$A$4:$A$17</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A!$C$4:$C$17</c:f>
              <c:numCache>
                <c:formatCode>General</c:formatCode>
                <c:ptCount val="14"/>
                <c:pt idx="0">
                  <c:v>99</c:v>
                </c:pt>
                <c:pt idx="1">
                  <c:v>86</c:v>
                </c:pt>
                <c:pt idx="2">
                  <c:v>83</c:v>
                </c:pt>
                <c:pt idx="3">
                  <c:v>80</c:v>
                </c:pt>
                <c:pt idx="4">
                  <c:v>66</c:v>
                </c:pt>
                <c:pt idx="5">
                  <c:v>71</c:v>
                </c:pt>
                <c:pt idx="6">
                  <c:v>48</c:v>
                </c:pt>
                <c:pt idx="7">
                  <c:v>67</c:v>
                </c:pt>
                <c:pt idx="8">
                  <c:v>52</c:v>
                </c:pt>
                <c:pt idx="9">
                  <c:v>59</c:v>
                </c:pt>
                <c:pt idx="10">
                  <c:v>55</c:v>
                </c:pt>
                <c:pt idx="11">
                  <c:v>50</c:v>
                </c:pt>
                <c:pt idx="12">
                  <c:v>59</c:v>
                </c:pt>
                <c:pt idx="13">
                  <c:v>69</c:v>
                </c:pt>
              </c:numCache>
            </c:numRef>
          </c:val>
          <c:smooth val="0"/>
          <c:extLst>
            <c:ext xmlns:c16="http://schemas.microsoft.com/office/drawing/2014/chart" uri="{C3380CC4-5D6E-409C-BE32-E72D297353CC}">
              <c16:uniqueId val="{00000002-3F3A-46B8-B8E8-758EE797018A}"/>
            </c:ext>
          </c:extLst>
        </c:ser>
        <c:dLbls>
          <c:showLegendKey val="0"/>
          <c:showVal val="0"/>
          <c:showCatName val="0"/>
          <c:showSerName val="0"/>
          <c:showPercent val="0"/>
          <c:showBubbleSize val="0"/>
        </c:dLbls>
        <c:marker val="1"/>
        <c:smooth val="0"/>
        <c:axId val="561480767"/>
        <c:axId val="561478847"/>
      </c:lineChart>
      <c:catAx>
        <c:axId val="561471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475487"/>
        <c:crosses val="autoZero"/>
        <c:auto val="1"/>
        <c:lblAlgn val="ctr"/>
        <c:lblOffset val="100"/>
        <c:noMultiLvlLbl val="0"/>
      </c:catAx>
      <c:valAx>
        <c:axId val="561475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471647"/>
        <c:crosses val="autoZero"/>
        <c:crossBetween val="between"/>
      </c:valAx>
      <c:valAx>
        <c:axId val="56147884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480767"/>
        <c:crosses val="max"/>
        <c:crossBetween val="between"/>
      </c:valAx>
      <c:catAx>
        <c:axId val="561480767"/>
        <c:scaling>
          <c:orientation val="minMax"/>
        </c:scaling>
        <c:delete val="1"/>
        <c:axPos val="b"/>
        <c:numFmt formatCode="General" sourceLinked="1"/>
        <c:majorTickMark val="out"/>
        <c:minorTickMark val="none"/>
        <c:tickLblPos val="nextTo"/>
        <c:crossAx val="56147884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DAE9-4FBB-4FAB-8988-4BB2229A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 Kendra</dc:creator>
  <cp:keywords/>
  <dc:description/>
  <cp:lastModifiedBy>Ain Kendra</cp:lastModifiedBy>
  <cp:revision>2</cp:revision>
  <dcterms:created xsi:type="dcterms:W3CDTF">2025-08-25T06:51:00Z</dcterms:created>
  <dcterms:modified xsi:type="dcterms:W3CDTF">2025-08-25T06:51:00Z</dcterms:modified>
</cp:coreProperties>
</file>